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404F" w14:textId="29171449" w:rsidR="009B10BE" w:rsidRPr="000D38C1" w:rsidRDefault="007E20C2" w:rsidP="21BC87D9">
      <w:pPr>
        <w:jc w:val="center"/>
        <w:rPr>
          <w:rFonts w:ascii="Avenir Next LT Pro" w:eastAsia="av" w:hAnsi="Avenir Next LT Pro" w:cs="av"/>
          <w:b/>
          <w:bCs/>
          <w:color w:val="2F5496" w:themeColor="accent1" w:themeShade="BF"/>
          <w:sz w:val="32"/>
          <w:szCs w:val="32"/>
        </w:rPr>
      </w:pPr>
      <w:r w:rsidRPr="000D38C1">
        <w:rPr>
          <w:rFonts w:ascii="Avenir Next LT Pro" w:eastAsia="av" w:hAnsi="Avenir Next LT Pro" w:cs="av"/>
          <w:b/>
          <w:bCs/>
          <w:color w:val="2F5496" w:themeColor="accent1" w:themeShade="BF"/>
          <w:sz w:val="32"/>
          <w:szCs w:val="32"/>
        </w:rPr>
        <w:t xml:space="preserve">Staffordshire Enhanced </w:t>
      </w:r>
      <w:r w:rsidR="00D67A8A" w:rsidRPr="000D38C1">
        <w:rPr>
          <w:rFonts w:ascii="Avenir Next LT Pro" w:eastAsia="av" w:hAnsi="Avenir Next LT Pro" w:cs="av"/>
          <w:b/>
          <w:bCs/>
          <w:color w:val="2F5496" w:themeColor="accent1" w:themeShade="BF"/>
          <w:sz w:val="32"/>
          <w:szCs w:val="32"/>
        </w:rPr>
        <w:t>Resource Base</w:t>
      </w:r>
    </w:p>
    <w:p w14:paraId="6071CA1C" w14:textId="4E10349C" w:rsidR="007E20C2" w:rsidRPr="000D38C1" w:rsidRDefault="007E20C2" w:rsidP="21BC87D9">
      <w:pPr>
        <w:jc w:val="center"/>
        <w:rPr>
          <w:rFonts w:ascii="Avenir Next LT Pro" w:hAnsi="Avenir Next LT Pro"/>
          <w:color w:val="CC00CC"/>
          <w:sz w:val="32"/>
          <w:szCs w:val="32"/>
        </w:rPr>
      </w:pPr>
      <w:r w:rsidRPr="000D38C1">
        <w:rPr>
          <w:rFonts w:ascii="Avenir Next LT Pro" w:eastAsia="av" w:hAnsi="Avenir Next LT Pro" w:cs="av"/>
          <w:color w:val="CC00CC"/>
          <w:sz w:val="32"/>
          <w:szCs w:val="32"/>
        </w:rPr>
        <w:t>EXPRESSION OF INTEREST</w:t>
      </w:r>
      <w:r w:rsidR="005E5DE9" w:rsidRPr="000D38C1">
        <w:rPr>
          <w:rFonts w:ascii="Avenir Next LT Pro" w:eastAsia="av" w:hAnsi="Avenir Next LT Pro" w:cs="av"/>
          <w:color w:val="CC00CC"/>
          <w:sz w:val="32"/>
          <w:szCs w:val="32"/>
        </w:rPr>
        <w:t xml:space="preserve"> FOR</w:t>
      </w:r>
      <w:r w:rsidR="005E5DE9" w:rsidRPr="000D38C1">
        <w:rPr>
          <w:rFonts w:ascii="Avenir Next LT Pro" w:hAnsi="Avenir Next LT Pro"/>
          <w:color w:val="CC00CC"/>
          <w:sz w:val="32"/>
          <w:szCs w:val="32"/>
        </w:rPr>
        <w:t>M</w:t>
      </w:r>
    </w:p>
    <w:p w14:paraId="1354839F" w14:textId="4A82D3E1" w:rsidR="005E5DE9" w:rsidRPr="00D41CB9" w:rsidRDefault="005E5DE9" w:rsidP="21BC87D9">
      <w:pPr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</w:pPr>
      <w:r w:rsidRPr="00D41CB9"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  <w:t>A: INTRODUCTION</w:t>
      </w:r>
    </w:p>
    <w:p w14:paraId="425387CA" w14:textId="234247A6" w:rsidR="001D6107" w:rsidRPr="00241758" w:rsidRDefault="001D6107" w:rsidP="21BC87D9">
      <w:pPr>
        <w:spacing w:after="0" w:line="240" w:lineRule="auto"/>
        <w:jc w:val="both"/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</w:pP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Enhanced Resource Bases (ERB) are part of Staffordshire County Council’s </w:t>
      </w:r>
      <w:r w:rsidR="3159CBD0"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strategy </w:t>
      </w: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>to ensur</w:t>
      </w:r>
      <w:r w:rsidR="37E42104"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>e</w:t>
      </w: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 that children and young people with </w:t>
      </w:r>
      <w:r w:rsidR="04AA4E4B"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significant </w:t>
      </w:r>
      <w:r w:rsidR="750D2A2E"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>additional</w:t>
      </w:r>
      <w:r w:rsidR="222DDF85"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 </w:t>
      </w:r>
      <w:r w:rsidR="00D65B83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special educational </w:t>
      </w:r>
      <w:r w:rsidR="750D2A2E"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needs </w:t>
      </w:r>
      <w:r w:rsidR="4EF643F0"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>can</w:t>
      </w: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 thrive in their local mainstream school alongside their peers. </w:t>
      </w:r>
    </w:p>
    <w:p w14:paraId="67C736E5" w14:textId="77777777" w:rsidR="009C00B1" w:rsidRPr="00241758" w:rsidRDefault="009C00B1" w:rsidP="21BC87D9">
      <w:pPr>
        <w:spacing w:after="0" w:line="240" w:lineRule="auto"/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</w:pPr>
    </w:p>
    <w:p w14:paraId="284164F4" w14:textId="748EDAD2" w:rsidR="009C00B1" w:rsidRPr="00241758" w:rsidRDefault="009C00B1" w:rsidP="21BC87D9">
      <w:pPr>
        <w:spacing w:after="0" w:line="240" w:lineRule="auto"/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</w:pP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The intention is to create a countywide provision of </w:t>
      </w:r>
      <w:r w:rsidR="00A63BE0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Special Educational Needs and </w:t>
      </w:r>
      <w:r w:rsidR="00E57421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>Disabilities</w:t>
      </w:r>
      <w:r w:rsidR="00A63BE0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 (SEND)</w:t>
      </w:r>
      <w:r w:rsidR="00E57421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 </w:t>
      </w: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>ERBs, for children</w:t>
      </w:r>
      <w:r w:rsidR="256B5F4D"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 and</w:t>
      </w: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 young people from reception to year 1</w:t>
      </w:r>
      <w:r w:rsidR="1B73124D"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>1</w:t>
      </w: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, to meet the needs of children and young people with an Educational, Health and Care Plan (EHCP) within an inclusive mainstream setting. </w:t>
      </w:r>
    </w:p>
    <w:p w14:paraId="6FCA9D35" w14:textId="77777777" w:rsidR="009C00B1" w:rsidRPr="00241758" w:rsidRDefault="009C00B1" w:rsidP="21BC87D9">
      <w:pPr>
        <w:spacing w:after="0" w:line="240" w:lineRule="auto"/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</w:pPr>
    </w:p>
    <w:p w14:paraId="198D22CE" w14:textId="5E5BAD10" w:rsidR="001D6107" w:rsidRPr="00241758" w:rsidRDefault="009C00B1" w:rsidP="21BC87D9">
      <w:pPr>
        <w:jc w:val="both"/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</w:pP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The ERB is a </w:t>
      </w:r>
      <w:r w:rsidR="009F3EBE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>central space</w:t>
      </w: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 within a mainstream school providing specialist support for children and young people with significant additional </w:t>
      </w:r>
      <w:r w:rsidR="009E06B3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SEND </w:t>
      </w: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needs while maintaining their connection to a mainstream setting and allowing for access to mainstream lessons. </w:t>
      </w:r>
    </w:p>
    <w:p w14:paraId="567D0B2E" w14:textId="06D7ED68" w:rsidR="001D6107" w:rsidRPr="00241758" w:rsidRDefault="001D6107" w:rsidP="21BC87D9">
      <w:pPr>
        <w:spacing w:after="0" w:line="240" w:lineRule="auto"/>
        <w:jc w:val="both"/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</w:pPr>
      <w:r w:rsidRPr="21BC87D9">
        <w:rPr>
          <w:rFonts w:eastAsiaTheme="minorEastAsia"/>
          <w:b/>
          <w:bCs/>
          <w:color w:val="EB33CC"/>
          <w:sz w:val="24"/>
          <w:szCs w:val="24"/>
        </w:rPr>
        <w:t xml:space="preserve">Figure </w:t>
      </w:r>
      <w:r w:rsidR="00241758" w:rsidRPr="21BC87D9">
        <w:rPr>
          <w:rFonts w:eastAsiaTheme="minorEastAsia"/>
          <w:b/>
          <w:bCs/>
          <w:color w:val="EB33CC"/>
          <w:sz w:val="24"/>
          <w:szCs w:val="24"/>
        </w:rPr>
        <w:t>One</w:t>
      </w: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 below illustrates the range of different provision available to support children and young people with SEND and the levels of support.</w:t>
      </w:r>
    </w:p>
    <w:p w14:paraId="1622D574" w14:textId="77777777" w:rsidR="001D6107" w:rsidRPr="00241758" w:rsidRDefault="001D6107" w:rsidP="001D6107">
      <w:pPr>
        <w:spacing w:after="0" w:line="240" w:lineRule="auto"/>
        <w:jc w:val="both"/>
        <w:rPr>
          <w:rFonts w:ascii="Avenir Next LT Pro" w:eastAsia="Calibri" w:hAnsi="Avenir Next LT Pro" w:cs="Times New Roman"/>
          <w:color w:val="EB33CC"/>
          <w:sz w:val="24"/>
          <w:szCs w:val="24"/>
        </w:rPr>
      </w:pPr>
    </w:p>
    <w:p w14:paraId="516392A4" w14:textId="7CE9D1F7" w:rsidR="001D6107" w:rsidRPr="00241758" w:rsidRDefault="001D6107" w:rsidP="001D6107">
      <w:pPr>
        <w:jc w:val="both"/>
        <w:rPr>
          <w:rFonts w:ascii="Avenir Next LT Pro" w:eastAsia="Calibri" w:hAnsi="Avenir Next LT Pro" w:cs="Times New Roman"/>
          <w:b/>
          <w:bCs/>
          <w:color w:val="EB33CC"/>
          <w:sz w:val="24"/>
          <w:szCs w:val="24"/>
        </w:rPr>
      </w:pPr>
      <w:r w:rsidRPr="00241758">
        <w:rPr>
          <w:rFonts w:ascii="Avenir Next LT Pro" w:eastAsia="Calibri" w:hAnsi="Avenir Next LT Pro" w:cs="Times New Roman"/>
          <w:b/>
          <w:bCs/>
          <w:color w:val="EB33CC"/>
          <w:sz w:val="24"/>
          <w:szCs w:val="24"/>
        </w:rPr>
        <w:t xml:space="preserve">Figure </w:t>
      </w:r>
      <w:r w:rsidR="00241758" w:rsidRPr="00241758">
        <w:rPr>
          <w:rFonts w:ascii="Avenir Next LT Pro" w:eastAsia="Calibri" w:hAnsi="Avenir Next LT Pro" w:cs="Times New Roman"/>
          <w:b/>
          <w:bCs/>
          <w:color w:val="EB33CC"/>
          <w:sz w:val="24"/>
          <w:szCs w:val="24"/>
        </w:rPr>
        <w:t>One</w:t>
      </w:r>
      <w:r w:rsidRPr="00241758">
        <w:rPr>
          <w:rFonts w:ascii="Avenir Next LT Pro" w:eastAsia="Calibri" w:hAnsi="Avenir Next LT Pro" w:cs="Times New Roman"/>
          <w:b/>
          <w:bCs/>
          <w:color w:val="EB33CC"/>
          <w:sz w:val="24"/>
          <w:szCs w:val="24"/>
        </w:rPr>
        <w:t>: Tiers of Support</w:t>
      </w:r>
    </w:p>
    <w:p w14:paraId="73FD6CB3" w14:textId="6B8FE05C" w:rsidR="001D6107" w:rsidRDefault="00241758" w:rsidP="00241758">
      <w:pPr>
        <w:jc w:val="center"/>
        <w:rPr>
          <w:rFonts w:ascii="Avenir Next LT Pro" w:eastAsia="Calibri" w:hAnsi="Avenir Next LT Pro" w:cs="Times New Roman"/>
        </w:rPr>
      </w:pPr>
      <w:r>
        <w:rPr>
          <w:rFonts w:ascii="Avenir Next LT Pro" w:eastAsia="Calibri" w:hAnsi="Avenir Next LT Pro" w:cs="Calibri"/>
          <w:noProof/>
          <w:color w:val="000000"/>
        </w:rPr>
        <w:drawing>
          <wp:inline distT="0" distB="0" distL="0" distR="0" wp14:anchorId="099F11E0" wp14:editId="68874962">
            <wp:extent cx="4559300" cy="3606300"/>
            <wp:effectExtent l="0" t="0" r="0" b="0"/>
            <wp:docPr id="1573921948" name="Picture 2" descr="A diagram of a school pyrami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8F7F50E-A3D5-45DD-8104-4BC590DF81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921948" name="Picture 2" descr="A diagram of a school pyrami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354" cy="365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00809" w14:textId="4DF861EE" w:rsidR="001D6107" w:rsidRDefault="001D6107" w:rsidP="001D6107">
      <w:pPr>
        <w:jc w:val="both"/>
        <w:rPr>
          <w:rFonts w:ascii="Avenir Next LT Pro" w:eastAsia="Calibri" w:hAnsi="Avenir Next LT Pro" w:cs="Times New Roman"/>
        </w:rPr>
      </w:pPr>
    </w:p>
    <w:p w14:paraId="159889C9" w14:textId="77777777" w:rsidR="001D6107" w:rsidRPr="005A653A" w:rsidRDefault="001D6107" w:rsidP="001D6107">
      <w:pPr>
        <w:spacing w:after="0" w:line="240" w:lineRule="auto"/>
        <w:rPr>
          <w:rFonts w:ascii="Avenir Next LT Pro" w:eastAsia="Times New Roman" w:hAnsi="Avenir Next LT Pro" w:cs="Arial"/>
          <w:color w:val="A5A5A5" w:themeColor="accent3"/>
          <w:highlight w:val="yellow"/>
          <w:u w:val="single"/>
          <w:lang w:eastAsia="en-GB"/>
        </w:rPr>
      </w:pPr>
    </w:p>
    <w:p w14:paraId="2605A9E5" w14:textId="77777777" w:rsidR="001D6107" w:rsidRPr="005E5DE9" w:rsidRDefault="001D6107" w:rsidP="005E5DE9">
      <w:pPr>
        <w:rPr>
          <w:rFonts w:ascii="Verdana" w:hAnsi="Verdana"/>
          <w:b/>
          <w:bCs/>
          <w:color w:val="2F5496" w:themeColor="accent1" w:themeShade="BF"/>
          <w:sz w:val="24"/>
          <w:szCs w:val="24"/>
        </w:rPr>
      </w:pPr>
    </w:p>
    <w:p w14:paraId="14A6058C" w14:textId="1A9AFD4E" w:rsidR="00D57D9B" w:rsidRDefault="00D57D9B" w:rsidP="00D57D9B">
      <w:pPr>
        <w:spacing w:after="0" w:line="240" w:lineRule="auto"/>
        <w:jc w:val="both"/>
        <w:rPr>
          <w:rFonts w:ascii="Avenir Next LT Pro Light" w:hAnsi="Avenir Next LT Pro Light"/>
          <w:b/>
          <w:bCs/>
          <w:color w:val="1F3864" w:themeColor="accent1" w:themeShade="80"/>
          <w:sz w:val="28"/>
          <w:szCs w:val="28"/>
        </w:rPr>
      </w:pPr>
      <w:r w:rsidRPr="00A44812">
        <w:rPr>
          <w:rFonts w:ascii="Avenir Next LT Pro Light" w:hAnsi="Avenir Next LT Pro Light"/>
          <w:b/>
          <w:bCs/>
          <w:color w:val="1F3864" w:themeColor="accent1" w:themeShade="80"/>
          <w:sz w:val="28"/>
          <w:szCs w:val="28"/>
        </w:rPr>
        <w:lastRenderedPageBreak/>
        <w:t xml:space="preserve">Applications must be submitted by 12 noon on 17 April 2026 to </w:t>
      </w:r>
      <w:hyperlink r:id="rId11" w:history="1">
        <w:r w:rsidR="00DE2415" w:rsidRPr="00B067EA">
          <w:rPr>
            <w:rStyle w:val="Hyperlink"/>
            <w:rFonts w:ascii="Avenir Next LT Pro Light" w:hAnsi="Avenir Next LT Pro Light"/>
            <w:b/>
            <w:bCs/>
            <w:sz w:val="28"/>
            <w:szCs w:val="28"/>
          </w:rPr>
          <w:t>Educationcommissioning@staffordshire.gov.uk</w:t>
        </w:r>
      </w:hyperlink>
      <w:r w:rsidRPr="00A44812">
        <w:rPr>
          <w:rFonts w:ascii="Avenir Next LT Pro Light" w:hAnsi="Avenir Next LT Pro Light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610FBC90" w14:textId="77777777" w:rsidR="00BD115C" w:rsidRDefault="00BD115C" w:rsidP="00D57D9B">
      <w:pPr>
        <w:spacing w:after="0" w:line="240" w:lineRule="auto"/>
        <w:jc w:val="both"/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</w:pPr>
    </w:p>
    <w:p w14:paraId="0DE72E65" w14:textId="79E9AD30" w:rsidR="005E5DE9" w:rsidRPr="00542961" w:rsidRDefault="005E5DE9" w:rsidP="21BC87D9">
      <w:pPr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</w:pPr>
      <w:r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  <w:t>B. CONTACT DETAILS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399"/>
        <w:gridCol w:w="3668"/>
      </w:tblGrid>
      <w:tr w:rsidR="005E5DE9" w14:paraId="51E46A40" w14:textId="77777777" w:rsidTr="21BC87D9">
        <w:tc>
          <w:tcPr>
            <w:tcW w:w="0" w:type="auto"/>
          </w:tcPr>
          <w:p w14:paraId="79066A4A" w14:textId="0D56EB64" w:rsidR="005E5DE9" w:rsidRPr="007E20C2" w:rsidRDefault="005E5DE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Name of</w:t>
            </w:r>
            <w:r w:rsidR="00241758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Mainstream School</w:t>
            </w: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:</w:t>
            </w:r>
          </w:p>
          <w:p w14:paraId="06289F02" w14:textId="77777777" w:rsidR="005E5DE9" w:rsidRDefault="005E5DE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3668" w:type="dxa"/>
          </w:tcPr>
          <w:p w14:paraId="5F68C898" w14:textId="77777777" w:rsidR="005E5DE9" w:rsidRDefault="005E5DE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51255C" w14:paraId="20F8B3C1" w14:textId="77777777" w:rsidTr="21BC87D9">
        <w:tc>
          <w:tcPr>
            <w:tcW w:w="0" w:type="auto"/>
          </w:tcPr>
          <w:p w14:paraId="561D387D" w14:textId="191EED0A" w:rsidR="0051255C" w:rsidRPr="007E20C2" w:rsidRDefault="7327FC4C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Address of School</w:t>
            </w:r>
          </w:p>
        </w:tc>
        <w:tc>
          <w:tcPr>
            <w:tcW w:w="3668" w:type="dxa"/>
          </w:tcPr>
          <w:p w14:paraId="528F9602" w14:textId="77777777" w:rsidR="0051255C" w:rsidRDefault="0051255C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215E5C78" w14:textId="77777777" w:rsidR="001D29C0" w:rsidRDefault="001D29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8982085" w14:textId="77777777" w:rsidR="001D29C0" w:rsidRDefault="001D29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3C4AA270" w14:textId="77777777" w:rsidR="001D29C0" w:rsidRDefault="001D29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3A0D0800" w14:textId="77777777" w:rsidR="001D29C0" w:rsidRDefault="001D29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56704B" w14:paraId="309240CC" w14:textId="77777777" w:rsidTr="21BC87D9">
        <w:tc>
          <w:tcPr>
            <w:tcW w:w="0" w:type="auto"/>
          </w:tcPr>
          <w:p w14:paraId="2BB7E913" w14:textId="341B7824" w:rsidR="0056704B" w:rsidRDefault="7327FC4C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Lead contact:</w:t>
            </w:r>
          </w:p>
        </w:tc>
        <w:tc>
          <w:tcPr>
            <w:tcW w:w="3668" w:type="dxa"/>
          </w:tcPr>
          <w:p w14:paraId="271EAFFF" w14:textId="77777777" w:rsidR="0056704B" w:rsidRDefault="0056704B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49753580" w14:textId="77777777" w:rsidR="001D29C0" w:rsidRDefault="001D29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1D29C0" w14:paraId="7B2F9707" w14:textId="77777777" w:rsidTr="21BC87D9">
        <w:tc>
          <w:tcPr>
            <w:tcW w:w="0" w:type="auto"/>
          </w:tcPr>
          <w:p w14:paraId="67821B62" w14:textId="03904CF5" w:rsidR="001D29C0" w:rsidRDefault="001D29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Jo</w:t>
            </w:r>
            <w:r w:rsidR="00995145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b</w:t>
            </w:r>
            <w: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Title:</w:t>
            </w:r>
          </w:p>
          <w:p w14:paraId="17D7E840" w14:textId="4056B7A4" w:rsidR="00995145" w:rsidRPr="21BC87D9" w:rsidRDefault="00995145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3668" w:type="dxa"/>
          </w:tcPr>
          <w:p w14:paraId="50F5A7B4" w14:textId="77777777" w:rsidR="001D29C0" w:rsidRDefault="001D29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5E5DE9" w14:paraId="69222AB7" w14:textId="77777777" w:rsidTr="21BC87D9">
        <w:tc>
          <w:tcPr>
            <w:tcW w:w="0" w:type="auto"/>
          </w:tcPr>
          <w:p w14:paraId="42CCFCD4" w14:textId="2DC94602" w:rsidR="005E5DE9" w:rsidRDefault="005E5DE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Email:</w:t>
            </w:r>
          </w:p>
        </w:tc>
        <w:tc>
          <w:tcPr>
            <w:tcW w:w="3668" w:type="dxa"/>
          </w:tcPr>
          <w:p w14:paraId="7C73BDBC" w14:textId="77777777" w:rsidR="005E5DE9" w:rsidRDefault="005E5DE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4D0C3A37" w14:textId="77777777" w:rsidR="001D29C0" w:rsidRDefault="001D29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5E5DE9" w14:paraId="0C2DDF23" w14:textId="77777777" w:rsidTr="21BC87D9">
        <w:tc>
          <w:tcPr>
            <w:tcW w:w="0" w:type="auto"/>
          </w:tcPr>
          <w:p w14:paraId="5ECDAD68" w14:textId="14AD2EF8" w:rsidR="005E5DE9" w:rsidRDefault="005E5DE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Phone Number:</w:t>
            </w:r>
          </w:p>
        </w:tc>
        <w:tc>
          <w:tcPr>
            <w:tcW w:w="3668" w:type="dxa"/>
          </w:tcPr>
          <w:p w14:paraId="42EB56E7" w14:textId="77777777" w:rsidR="005E5DE9" w:rsidRDefault="005E5DE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13826373" w14:textId="77777777" w:rsidR="001D29C0" w:rsidRDefault="001D29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7A1212" w14:paraId="241D8376" w14:textId="77777777" w:rsidTr="21BC87D9">
        <w:tc>
          <w:tcPr>
            <w:tcW w:w="0" w:type="auto"/>
          </w:tcPr>
          <w:p w14:paraId="76296F1B" w14:textId="72378692" w:rsidR="007A1212" w:rsidRDefault="7327FC4C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Name of Partner Special School</w:t>
            </w:r>
            <w:r w:rsidR="08F97BC8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:</w:t>
            </w:r>
          </w:p>
        </w:tc>
        <w:tc>
          <w:tcPr>
            <w:tcW w:w="3668" w:type="dxa"/>
          </w:tcPr>
          <w:p w14:paraId="77E9C114" w14:textId="77777777" w:rsidR="007A1212" w:rsidRDefault="007A1212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2E984F0D" w14:textId="77777777" w:rsidR="001D29C0" w:rsidRDefault="001D29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56A2978F" w14:textId="77777777" w:rsidR="005E5DE9" w:rsidRPr="007E20C2" w:rsidRDefault="005E5DE9" w:rsidP="21BC87D9">
      <w:pPr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</w:pPr>
    </w:p>
    <w:p w14:paraId="7C6F63C2" w14:textId="4BD84BE3" w:rsidR="007E20C2" w:rsidRDefault="00164BB4" w:rsidP="21BC87D9">
      <w:pPr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</w:pPr>
      <w:r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  <w:t>C</w:t>
      </w:r>
      <w:r w:rsidR="00041827"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  <w:t>: OUTLINE</w:t>
      </w:r>
      <w:r w:rsidR="00633E7B"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  <w:t xml:space="preserve"> OF ERB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426"/>
        <w:gridCol w:w="1701"/>
        <w:gridCol w:w="1984"/>
        <w:gridCol w:w="2126"/>
      </w:tblGrid>
      <w:tr w:rsidR="008054DE" w14:paraId="7A239131" w14:textId="77777777" w:rsidTr="001045D3">
        <w:trPr>
          <w:trHeight w:val="300"/>
        </w:trPr>
        <w:tc>
          <w:tcPr>
            <w:tcW w:w="2830" w:type="dxa"/>
            <w:gridSpan w:val="2"/>
          </w:tcPr>
          <w:p w14:paraId="5C37E383" w14:textId="502B6B7E" w:rsidR="005E5DE9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C1. </w:t>
            </w:r>
            <w:r w:rsidR="00633E7B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District of school</w:t>
            </w:r>
          </w:p>
          <w:p w14:paraId="1C291718" w14:textId="04C8B34B" w:rsidR="001D29C0" w:rsidRPr="007E20C2" w:rsidRDefault="001D29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6237" w:type="dxa"/>
            <w:gridSpan w:val="4"/>
          </w:tcPr>
          <w:p w14:paraId="6F67BF52" w14:textId="77777777" w:rsidR="005E5DE9" w:rsidRDefault="005E5DE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59234A" w14:paraId="10E39180" w14:textId="77777777" w:rsidTr="00CB656E">
        <w:trPr>
          <w:trHeight w:val="300"/>
        </w:trPr>
        <w:tc>
          <w:tcPr>
            <w:tcW w:w="9067" w:type="dxa"/>
            <w:gridSpan w:val="6"/>
          </w:tcPr>
          <w:p w14:paraId="1653334B" w14:textId="4AC4B394" w:rsidR="0059234A" w:rsidRDefault="324D5CBE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C2. </w:t>
            </w:r>
            <w:r w:rsidR="40C18CBD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Number of places to be offered in </w:t>
            </w:r>
            <w:r w:rsidR="008174BC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at the Enhanced Resource Base </w:t>
            </w:r>
            <w:r w:rsidR="001D29C0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for </w:t>
            </w:r>
            <w:r w:rsidR="40C18CBD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each </w:t>
            </w:r>
            <w:r w:rsidR="51E19F2F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Key Stage</w:t>
            </w:r>
            <w:r w:rsidR="2817C859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?</w:t>
            </w:r>
          </w:p>
        </w:tc>
      </w:tr>
      <w:tr w:rsidR="008054DE" w14:paraId="2E058F17" w14:textId="77777777" w:rsidTr="00CC6701">
        <w:trPr>
          <w:trHeight w:val="300"/>
        </w:trPr>
        <w:tc>
          <w:tcPr>
            <w:tcW w:w="4957" w:type="dxa"/>
            <w:gridSpan w:val="4"/>
          </w:tcPr>
          <w:p w14:paraId="3FE864D7" w14:textId="77777777" w:rsidR="002F0A2E" w:rsidRDefault="24819682" w:rsidP="00995145">
            <w:pPr>
              <w:jc w:val="center"/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Primary</w:t>
            </w:r>
          </w:p>
        </w:tc>
        <w:tc>
          <w:tcPr>
            <w:tcW w:w="4110" w:type="dxa"/>
            <w:gridSpan w:val="2"/>
          </w:tcPr>
          <w:p w14:paraId="072077D1" w14:textId="77777777" w:rsidR="002F0A2E" w:rsidRDefault="24819682" w:rsidP="00995145">
            <w:pPr>
              <w:jc w:val="center"/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Secondary</w:t>
            </w:r>
          </w:p>
        </w:tc>
      </w:tr>
      <w:tr w:rsidR="00434234" w14:paraId="3E7FF564" w14:textId="77777777" w:rsidTr="00CC6701">
        <w:trPr>
          <w:trHeight w:val="300"/>
        </w:trPr>
        <w:tc>
          <w:tcPr>
            <w:tcW w:w="1555" w:type="dxa"/>
          </w:tcPr>
          <w:p w14:paraId="7EBF9F37" w14:textId="5C74A849" w:rsidR="00A91344" w:rsidRDefault="1DF9D78F" w:rsidP="00995145">
            <w:pPr>
              <w:jc w:val="center"/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Reception</w:t>
            </w:r>
          </w:p>
        </w:tc>
        <w:tc>
          <w:tcPr>
            <w:tcW w:w="1701" w:type="dxa"/>
            <w:gridSpan w:val="2"/>
          </w:tcPr>
          <w:p w14:paraId="5BA7AC22" w14:textId="486A907B" w:rsidR="00A91344" w:rsidRDefault="1DF9D78F" w:rsidP="00995145">
            <w:pPr>
              <w:jc w:val="center"/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Key Stage One</w:t>
            </w:r>
          </w:p>
        </w:tc>
        <w:tc>
          <w:tcPr>
            <w:tcW w:w="1701" w:type="dxa"/>
          </w:tcPr>
          <w:p w14:paraId="4A8382A5" w14:textId="12A2E29C" w:rsidR="00A91344" w:rsidRDefault="1DF9D78F" w:rsidP="00995145">
            <w:pPr>
              <w:jc w:val="center"/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Key Stage Two</w:t>
            </w:r>
          </w:p>
        </w:tc>
        <w:tc>
          <w:tcPr>
            <w:tcW w:w="1984" w:type="dxa"/>
          </w:tcPr>
          <w:p w14:paraId="3237DC2B" w14:textId="66467326" w:rsidR="00A91344" w:rsidRDefault="1DF9D78F" w:rsidP="00995145">
            <w:pPr>
              <w:jc w:val="center"/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Key Stage Three</w:t>
            </w:r>
          </w:p>
        </w:tc>
        <w:tc>
          <w:tcPr>
            <w:tcW w:w="2126" w:type="dxa"/>
          </w:tcPr>
          <w:p w14:paraId="48934423" w14:textId="07F4F9CD" w:rsidR="00A91344" w:rsidRDefault="1DF9D78F" w:rsidP="00995145">
            <w:pPr>
              <w:jc w:val="center"/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Key Stage Four</w:t>
            </w:r>
          </w:p>
        </w:tc>
      </w:tr>
      <w:tr w:rsidR="00434234" w14:paraId="1B468F5A" w14:textId="77777777" w:rsidTr="00CC6701">
        <w:trPr>
          <w:trHeight w:val="300"/>
        </w:trPr>
        <w:tc>
          <w:tcPr>
            <w:tcW w:w="1555" w:type="dxa"/>
          </w:tcPr>
          <w:p w14:paraId="2E3E3227" w14:textId="77777777" w:rsidR="00A91344" w:rsidRDefault="00A9134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316D86A" w14:textId="77777777" w:rsidR="00A91344" w:rsidRDefault="00A9134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79109B" w14:textId="77777777" w:rsidR="00A91344" w:rsidRDefault="00A9134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7EE9B1" w14:textId="77777777" w:rsidR="00A91344" w:rsidRDefault="00A9134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76ADE1" w14:textId="77777777" w:rsidR="00A91344" w:rsidRDefault="00A9134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23C289B7" w14:textId="77777777" w:rsidR="001D29C0" w:rsidRDefault="001D29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30D80DE8" w14:textId="77777777" w:rsidR="001D29C0" w:rsidRDefault="001D29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2587D0A0" w14:textId="77777777" w:rsidR="00134D68" w:rsidRDefault="00134D68">
      <w:r>
        <w:br w:type="page"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E5DE9" w14:paraId="5EB5218D" w14:textId="77777777" w:rsidTr="00CC6701">
        <w:trPr>
          <w:trHeight w:val="300"/>
        </w:trPr>
        <w:tc>
          <w:tcPr>
            <w:tcW w:w="9067" w:type="dxa"/>
          </w:tcPr>
          <w:p w14:paraId="61723C68" w14:textId="41BDB2F9" w:rsidR="00575A8F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lastRenderedPageBreak/>
              <w:t>C</w:t>
            </w:r>
            <w:r w:rsidR="256BB770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3</w:t>
            </w: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. </w:t>
            </w:r>
            <w:r w:rsidR="005E5DE9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Provide a description of the Proposal</w:t>
            </w:r>
            <w:r w:rsidR="32DCF123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</w:t>
            </w:r>
          </w:p>
          <w:p w14:paraId="5F01AF76" w14:textId="400601DE" w:rsidR="005E5DE9" w:rsidRDefault="005E5DE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5E5DE9" w14:paraId="64AE1F38" w14:textId="77777777" w:rsidTr="00CC6701">
        <w:trPr>
          <w:trHeight w:val="1301"/>
        </w:trPr>
        <w:tc>
          <w:tcPr>
            <w:tcW w:w="9067" w:type="dxa"/>
          </w:tcPr>
          <w:p w14:paraId="7D12847F" w14:textId="470FED57" w:rsidR="00D00DFC" w:rsidRDefault="00610567" w:rsidP="21BC87D9">
            <w:pP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610567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Please refer to district and/or County specific data in your answer</w:t>
            </w: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 </w:t>
            </w:r>
            <w:r w:rsidR="005E5DE9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Include: </w:t>
            </w:r>
          </w:p>
          <w:p w14:paraId="2646316D" w14:textId="70DE5B3A" w:rsidR="191129FD" w:rsidRDefault="4FCB5DA1" w:rsidP="21BC87D9">
            <w:pP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Why you are applying to </w:t>
            </w:r>
            <w:r w:rsidR="051E9915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offer an ERB</w:t>
            </w:r>
          </w:p>
          <w:p w14:paraId="74B0D05B" w14:textId="2CB8F179" w:rsidR="191129FD" w:rsidRDefault="051E9915" w:rsidP="21BC87D9">
            <w:pP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Why do you feel the school should have an ERB</w:t>
            </w:r>
          </w:p>
          <w:p w14:paraId="268220BA" w14:textId="5D58629F" w:rsidR="00C4567B" w:rsidRDefault="0D2EEFCD" w:rsidP="21BC87D9">
            <w:pP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How will the ERB </w:t>
            </w:r>
            <w:r w:rsidR="063FF58F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run </w:t>
            </w: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along</w:t>
            </w:r>
            <w:r w:rsidR="063FF58F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side</w:t>
            </w: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 the mainstream school</w:t>
            </w:r>
          </w:p>
          <w:p w14:paraId="022F1E68" w14:textId="754A52D0" w:rsidR="005E5DE9" w:rsidRPr="00610567" w:rsidRDefault="278A748A" w:rsidP="21BC87D9">
            <w:pP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How will the ERB meet the needs of </w:t>
            </w:r>
            <w:r w:rsidR="46C967DA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the</w:t>
            </w: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 local community</w:t>
            </w:r>
          </w:p>
        </w:tc>
      </w:tr>
      <w:tr w:rsidR="005E5DE9" w14:paraId="1BFCFCEF" w14:textId="77777777" w:rsidTr="00CC6701">
        <w:trPr>
          <w:trHeight w:val="300"/>
        </w:trPr>
        <w:tc>
          <w:tcPr>
            <w:tcW w:w="9067" w:type="dxa"/>
          </w:tcPr>
          <w:p w14:paraId="7800E924" w14:textId="77777777" w:rsidR="005E5DE9" w:rsidRDefault="005E5DE9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46C425C9" w14:textId="77777777" w:rsidR="00D765EA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72E60E06" w14:textId="77777777" w:rsidR="00D765EA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5D300619" w14:textId="77777777" w:rsidR="00D765EA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751735FB" w14:textId="77777777" w:rsidR="00D765EA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02C099F3" w14:textId="5C7F5E84" w:rsidR="00D765EA" w:rsidRPr="007E20C2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1C21798E" w14:textId="1CAB3E42" w:rsidR="00D765EA" w:rsidRPr="007E20C2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5E4D58AA" w14:textId="00738EAC" w:rsidR="00D765EA" w:rsidRPr="007E20C2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06D613EB" w14:textId="7EFE915D" w:rsidR="00D765EA" w:rsidRPr="007E20C2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7B9335CA" w14:textId="40AFCB12" w:rsidR="00D765EA" w:rsidRPr="007E20C2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36FFAD3E" w14:textId="3A64B541" w:rsidR="00D765EA" w:rsidRPr="007E20C2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0571957C" w14:textId="25EF6847" w:rsidR="00D765EA" w:rsidRPr="007E20C2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3D30F8D7" w14:textId="271DDB0B" w:rsidR="00D765EA" w:rsidRPr="007E20C2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6ED2B58F" w14:textId="658FFBFA" w:rsidR="00D765EA" w:rsidRPr="007E20C2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58595D5D" w14:textId="2917403F" w:rsidR="00D765EA" w:rsidRPr="007E20C2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6520E50D" w14:textId="0D39A028" w:rsidR="00D765EA" w:rsidRPr="007E20C2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4BE84A4C" w14:textId="336254A2" w:rsidR="00D765EA" w:rsidRPr="007E20C2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  <w:p w14:paraId="0E277D42" w14:textId="5FE21993" w:rsidR="00D765EA" w:rsidRPr="007E20C2" w:rsidRDefault="00D765EA" w:rsidP="21BC87D9">
            <w:pPr>
              <w:rPr>
                <w:rFonts w:ascii="av" w:eastAsia="av" w:hAnsi="av" w:cs="av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4813EA1E" w14:textId="2B35C1A6" w:rsidR="007E20C2" w:rsidRDefault="007E20C2" w:rsidP="21BC87D9">
      <w:pPr>
        <w:rPr>
          <w:rFonts w:ascii="Avenir Next LT Pro" w:eastAsia="Avenir Next LT Pro" w:hAnsi="Avenir Next LT Pro" w:cs="Avenir Next LT Pro"/>
        </w:rPr>
      </w:pPr>
    </w:p>
    <w:p w14:paraId="3B02A5B8" w14:textId="7C6EE605" w:rsidR="00D765EA" w:rsidRPr="00134D68" w:rsidRDefault="00164BB4" w:rsidP="21BC87D9">
      <w:pPr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</w:pPr>
      <w:r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  <w:t>D</w:t>
      </w:r>
      <w:r w:rsidR="00D765EA"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  <w:t>: QUALITY OF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7E0" w14:paraId="22399C8C" w14:textId="77777777" w:rsidTr="21BC87D9">
        <w:tc>
          <w:tcPr>
            <w:tcW w:w="0" w:type="auto"/>
          </w:tcPr>
          <w:p w14:paraId="21ADCB61" w14:textId="158E2561" w:rsidR="00097E3A" w:rsidRDefault="1E00BAFA" w:rsidP="00097E3A">
            <w:pP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D1. Latest Ofsted judgement of </w:t>
            </w:r>
            <w:r w:rsidR="67199831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the </w:t>
            </w:r>
            <w:r w:rsidR="00E04BD3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m</w:t>
            </w:r>
            <w:r w:rsidR="27AB57C6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ainstream </w:t>
            </w:r>
            <w:r w:rsidR="00E04BD3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s</w:t>
            </w:r>
            <w:r w:rsidR="27AB57C6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chool</w:t>
            </w:r>
            <w:r w:rsidR="3147C0EF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and </w:t>
            </w:r>
            <w:r w:rsidR="0BC78B45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s</w:t>
            </w:r>
            <w:r w:rsidR="3147C0EF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pecial schools</w:t>
            </w:r>
            <w:r w:rsidR="536477E1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/other schools</w:t>
            </w:r>
            <w:r w:rsidR="3147C0EF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involved in the ER</w:t>
            </w:r>
            <w:r w:rsidR="544B8467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B</w:t>
            </w:r>
            <w:r w:rsidR="3147C0EF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.</w:t>
            </w:r>
            <w:r w:rsidR="00097E3A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 </w:t>
            </w:r>
          </w:p>
          <w:p w14:paraId="00CFC75E" w14:textId="10E9098C" w:rsidR="00097E3A" w:rsidRDefault="00097E3A" w:rsidP="00097E3A">
            <w:pP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Provide m</w:t>
            </w: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ain Ofsted report findings in terms of inclusive practices and supporting children and young people with SEND.</w:t>
            </w:r>
          </w:p>
          <w:p w14:paraId="4F62F40E" w14:textId="3E201D8B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8347E0" w14:paraId="54A3F8E3" w14:textId="77777777" w:rsidTr="21BC87D9">
        <w:tc>
          <w:tcPr>
            <w:tcW w:w="0" w:type="auto"/>
          </w:tcPr>
          <w:p w14:paraId="732F60F3" w14:textId="77777777" w:rsidR="008347E0" w:rsidRDefault="008347E0" w:rsidP="21BC87D9">
            <w:pP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</w:pPr>
          </w:p>
          <w:p w14:paraId="62702627" w14:textId="2EA78DBF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4FA008DD" w14:textId="748261FC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1972BBC2" w14:textId="503121E3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7E711E4A" w14:textId="381BE2EA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3410AD60" w14:textId="77777777" w:rsidR="00DC25C5" w:rsidRDefault="00DC25C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65EA" w14:paraId="77E8D56F" w14:textId="77777777" w:rsidTr="21BC87D9">
        <w:tc>
          <w:tcPr>
            <w:tcW w:w="0" w:type="auto"/>
          </w:tcPr>
          <w:p w14:paraId="0F5243E9" w14:textId="1EB8D6AF" w:rsidR="001528BC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lastRenderedPageBreak/>
              <w:t>D</w:t>
            </w:r>
            <w:r w:rsidR="00D765E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2. </w:t>
            </w:r>
            <w:r w:rsidR="000D6E4C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Achievement of Outcomes</w:t>
            </w:r>
          </w:p>
          <w:p w14:paraId="34C9E42A" w14:textId="6261F322" w:rsidR="001528BC" w:rsidRDefault="000D6E4C" w:rsidP="21BC87D9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Detail </w:t>
            </w:r>
            <w:r w:rsidR="00F97086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o</w:t>
            </w:r>
            <w:r w:rsidR="00D765E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utcomes achieved for children and young people </w:t>
            </w:r>
            <w:r w:rsidR="27AB57C6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with</w:t>
            </w:r>
            <w:r w:rsidR="45E2471D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in the school</w:t>
            </w:r>
          </w:p>
          <w:p w14:paraId="183D75AF" w14:textId="7F1F0917" w:rsidR="001528BC" w:rsidRPr="001528BC" w:rsidRDefault="00F97086" w:rsidP="21BC87D9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Detail</w:t>
            </w: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o</w:t>
            </w:r>
            <w:r w:rsidR="43B6570C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utcomes achieved for children and young people wit</w:t>
            </w:r>
            <w:r w:rsidR="2E152AFB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h an</w:t>
            </w:r>
            <w:r w:rsidR="43B6570C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</w:t>
            </w:r>
            <w:r w:rsidR="3C332FEC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EHCP</w:t>
            </w:r>
            <w:r w:rsidR="62A26794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/</w:t>
            </w:r>
            <w:r w:rsidR="015DED52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receiving </w:t>
            </w:r>
            <w:r w:rsidR="62A26794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SEND support</w:t>
            </w:r>
            <w:r w:rsidR="3C332FEC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</w:t>
            </w:r>
          </w:p>
          <w:p w14:paraId="43ED0BC1" w14:textId="75A6CD40" w:rsidR="008347E0" w:rsidRPr="001528BC" w:rsidRDefault="3601AECC" w:rsidP="21BC87D9">
            <w:pP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(Include: Attendance/Absence/Long-term absence levels, Performance data, progress data</w:t>
            </w:r>
            <w:r w:rsidR="474B7271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, Post 16 destinations, Post 16 NEET</w:t>
            </w: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)</w:t>
            </w:r>
          </w:p>
        </w:tc>
      </w:tr>
      <w:tr w:rsidR="008347E0" w14:paraId="69559DEB" w14:textId="77777777" w:rsidTr="21BC87D9">
        <w:tc>
          <w:tcPr>
            <w:tcW w:w="0" w:type="auto"/>
          </w:tcPr>
          <w:p w14:paraId="7B1BDB93" w14:textId="5FBDAA7C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260C87DB" w14:textId="55E193AC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47443C1" w14:textId="36239988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1BB65DCA" w14:textId="025CDD09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5E5BCD3D" w14:textId="2E7ECFF1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1775ECA7" w14:textId="0F625C2C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8B38082" w14:textId="0DEE16D5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D765EA" w14:paraId="2D09E71F" w14:textId="77777777" w:rsidTr="21BC87D9">
        <w:tc>
          <w:tcPr>
            <w:tcW w:w="0" w:type="auto"/>
          </w:tcPr>
          <w:p w14:paraId="4EEE74F6" w14:textId="26D07FF7" w:rsidR="00D765EA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D</w:t>
            </w:r>
            <w:r w:rsidR="00D765E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3. Staffing </w:t>
            </w:r>
          </w:p>
        </w:tc>
      </w:tr>
      <w:tr w:rsidR="008347E0" w14:paraId="70D1153B" w14:textId="77777777" w:rsidTr="21BC87D9">
        <w:tc>
          <w:tcPr>
            <w:tcW w:w="0" w:type="auto"/>
          </w:tcPr>
          <w:p w14:paraId="652C554B" w14:textId="31E34961" w:rsidR="008347E0" w:rsidRDefault="009674EF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3a. </w:t>
            </w:r>
            <w:r w:rsidR="1E00BAF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Provide details of the proposed staffing </w:t>
            </w:r>
            <w:r w:rsidR="5968ADA8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for the ERB</w:t>
            </w:r>
          </w:p>
        </w:tc>
      </w:tr>
      <w:tr w:rsidR="008347E0" w14:paraId="00F15024" w14:textId="77777777" w:rsidTr="21BC87D9">
        <w:tc>
          <w:tcPr>
            <w:tcW w:w="0" w:type="auto"/>
          </w:tcPr>
          <w:p w14:paraId="26D0C5DF" w14:textId="068651B4" w:rsidR="008347E0" w:rsidRPr="00610F96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3243CAFD" w14:textId="77777777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3653C48" w14:textId="1502F25F" w:rsidR="21BC87D9" w:rsidRDefault="21BC87D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7D4FCE4C" w14:textId="06A09CB8" w:rsidR="21BC87D9" w:rsidRDefault="21BC87D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6DCF109E" w14:textId="77777777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BEC3D1E" w14:textId="77777777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8347E0" w14:paraId="13A66F7E" w14:textId="77777777" w:rsidTr="21BC87D9">
        <w:tc>
          <w:tcPr>
            <w:tcW w:w="0" w:type="auto"/>
          </w:tcPr>
          <w:p w14:paraId="76180C8D" w14:textId="40A0755B" w:rsidR="008347E0" w:rsidRDefault="009674EF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3b. </w:t>
            </w:r>
            <w:r w:rsidR="1E00BAF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Outline the skills, training and experience of the </w:t>
            </w:r>
            <w:r w:rsidR="5968ADA8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proposed ERB </w:t>
            </w:r>
            <w:r w:rsidR="1E00BAF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staff </w:t>
            </w:r>
          </w:p>
        </w:tc>
      </w:tr>
      <w:tr w:rsidR="008347E0" w14:paraId="0B6A7C85" w14:textId="77777777" w:rsidTr="21BC87D9">
        <w:tc>
          <w:tcPr>
            <w:tcW w:w="0" w:type="auto"/>
          </w:tcPr>
          <w:p w14:paraId="06BC741C" w14:textId="77777777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6BF047B" w14:textId="77777777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691B9FE6" w14:textId="77777777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C1E8F42" w14:textId="23C84923" w:rsidR="008347E0" w:rsidRDefault="008347E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A476C0" w14:paraId="6DED5EC4" w14:textId="77777777" w:rsidTr="21BC87D9">
        <w:tc>
          <w:tcPr>
            <w:tcW w:w="0" w:type="auto"/>
          </w:tcPr>
          <w:p w14:paraId="1E779DCC" w14:textId="69825982" w:rsidR="00A476C0" w:rsidRDefault="555B911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D4. Partnership Working</w:t>
            </w:r>
          </w:p>
        </w:tc>
      </w:tr>
      <w:tr w:rsidR="00A476C0" w14:paraId="77406011" w14:textId="77777777" w:rsidTr="21BC87D9">
        <w:tc>
          <w:tcPr>
            <w:tcW w:w="0" w:type="auto"/>
          </w:tcPr>
          <w:p w14:paraId="737F572D" w14:textId="25801D47" w:rsidR="00A476C0" w:rsidRDefault="155D2D2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4a. How will the school </w:t>
            </w:r>
            <w:r w:rsidR="0B4CA522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be supported by the local special school</w:t>
            </w:r>
          </w:p>
        </w:tc>
      </w:tr>
      <w:tr w:rsidR="00A476C0" w14:paraId="571B18B8" w14:textId="77777777" w:rsidTr="21BC87D9">
        <w:tc>
          <w:tcPr>
            <w:tcW w:w="0" w:type="auto"/>
          </w:tcPr>
          <w:p w14:paraId="5806A783" w14:textId="48482055" w:rsidR="00A476C0" w:rsidRDefault="00A476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6FA1AEE5" w14:textId="4AAC5CF6" w:rsidR="00A476C0" w:rsidRDefault="00A476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918643F" w14:textId="5B4E7A37" w:rsidR="00A476C0" w:rsidRDefault="00A476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CD9455B" w14:textId="071B773C" w:rsidR="00A476C0" w:rsidRDefault="00A476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49EB1E4" w14:textId="1669A325" w:rsidR="00A476C0" w:rsidRDefault="00A476C0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A476C0" w14:paraId="6AE651D6" w14:textId="77777777" w:rsidTr="21BC87D9">
        <w:tc>
          <w:tcPr>
            <w:tcW w:w="0" w:type="auto"/>
          </w:tcPr>
          <w:p w14:paraId="4A1D8E3B" w14:textId="59A47463" w:rsidR="00A476C0" w:rsidRDefault="063FF58F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4b. </w:t>
            </w:r>
            <w:r w:rsidR="6D588183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Provide details of partnership working with</w:t>
            </w:r>
            <w:r w:rsidR="7DFD26B7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all</w:t>
            </w:r>
            <w:r w:rsidR="6D588183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other </w:t>
            </w:r>
            <w:r w:rsidR="000316FD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practitioners</w:t>
            </w:r>
            <w:r w:rsidR="6D588183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/organisations</w:t>
            </w:r>
          </w:p>
        </w:tc>
      </w:tr>
      <w:tr w:rsidR="00AC4374" w14:paraId="211F13E4" w14:textId="77777777" w:rsidTr="21BC87D9">
        <w:tc>
          <w:tcPr>
            <w:tcW w:w="0" w:type="auto"/>
          </w:tcPr>
          <w:p w14:paraId="2B6A91AE" w14:textId="794DFEAA" w:rsidR="00AC4374" w:rsidRDefault="00AC437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143FE57F" w14:textId="4CC61A6E" w:rsidR="00AC4374" w:rsidRDefault="00AC437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3835F61D" w14:textId="5B098CFE" w:rsidR="00AC4374" w:rsidRDefault="00AC437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66A1778B" w14:textId="72D526BE" w:rsidR="00AC4374" w:rsidRDefault="00AC437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3BFB2522" w14:textId="440375D0" w:rsidR="00AC4374" w:rsidRDefault="00AC437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28DC45D1" w14:textId="09EBAA32" w:rsidR="00AC4374" w:rsidRDefault="00AC437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3EE13923" w14:textId="402D10B7" w:rsidR="00AC4374" w:rsidRDefault="00AC437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7715037" w14:textId="25767ED0" w:rsidR="00AC4374" w:rsidRDefault="00AC437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35F1515C" w14:textId="6F964F1B" w:rsidR="00D765EA" w:rsidRPr="00041827" w:rsidRDefault="00D765EA" w:rsidP="21BC87D9">
      <w:pPr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</w:pPr>
      <w:r w:rsidRPr="00041827">
        <w:rPr>
          <w:rFonts w:ascii="Verdana" w:hAnsi="Verdana"/>
          <w:color w:val="2F5496" w:themeColor="accent1" w:themeShade="BF"/>
          <w:sz w:val="24"/>
          <w:szCs w:val="24"/>
        </w:rPr>
        <w:tab/>
      </w:r>
      <w:r w:rsidRPr="00041827">
        <w:rPr>
          <w:rFonts w:ascii="Verdana" w:hAnsi="Verdana"/>
          <w:color w:val="2F5496" w:themeColor="accent1" w:themeShade="BF"/>
          <w:sz w:val="24"/>
          <w:szCs w:val="24"/>
        </w:rPr>
        <w:tab/>
      </w:r>
      <w:r w:rsidRPr="00041827">
        <w:rPr>
          <w:rFonts w:ascii="Verdana" w:hAnsi="Verdana"/>
          <w:color w:val="2F5496" w:themeColor="accent1" w:themeShade="BF"/>
          <w:sz w:val="24"/>
          <w:szCs w:val="24"/>
        </w:rPr>
        <w:tab/>
      </w:r>
    </w:p>
    <w:p w14:paraId="5FD4860B" w14:textId="77777777" w:rsidR="00993711" w:rsidRDefault="00993711" w:rsidP="21BC87D9">
      <w:pPr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</w:pPr>
    </w:p>
    <w:p w14:paraId="4B3B89D7" w14:textId="62F42BEC" w:rsidR="00041827" w:rsidRPr="00041827" w:rsidRDefault="00164BB4" w:rsidP="21BC87D9">
      <w:pPr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</w:pPr>
      <w:r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  <w:lastRenderedPageBreak/>
        <w:t>E</w:t>
      </w:r>
      <w:r w:rsidR="00041827"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  <w:t>: INCLUSIVE PRACTICE</w:t>
      </w:r>
    </w:p>
    <w:p w14:paraId="62BD7E14" w14:textId="6BBC25F5" w:rsidR="00041827" w:rsidRDefault="00993711" w:rsidP="21BC87D9">
      <w:pPr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</w:pP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Provide </w:t>
      </w:r>
      <w:r w:rsidR="00041827"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evidence </w:t>
      </w: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to demonstrate your </w:t>
      </w:r>
      <w:r w:rsidR="00FA1EAF"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commitment to </w:t>
      </w: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inclusive </w:t>
      </w:r>
      <w:r w:rsidR="000316FD"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>practice.</w:t>
      </w: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 xml:space="preserve">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704"/>
        <w:gridCol w:w="1368"/>
        <w:gridCol w:w="944"/>
      </w:tblGrid>
      <w:tr w:rsidR="00D765EA" w14:paraId="5B1A98DA" w14:textId="77777777" w:rsidTr="21BC87D9">
        <w:tc>
          <w:tcPr>
            <w:tcW w:w="9016" w:type="dxa"/>
            <w:gridSpan w:val="3"/>
          </w:tcPr>
          <w:p w14:paraId="3286092C" w14:textId="2A0CA80F" w:rsidR="00D765EA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E</w:t>
            </w:r>
            <w:r w:rsidR="00D765E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1. Provide</w:t>
            </w:r>
            <w:r w:rsidR="33433EE3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</w:t>
            </w:r>
            <w:r w:rsidR="00D765E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information </w:t>
            </w:r>
            <w:r w:rsidR="500ECBFC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for</w:t>
            </w:r>
            <w:r w:rsidR="1E00BAF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</w:t>
            </w:r>
            <w:r w:rsidR="00D765E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202</w:t>
            </w:r>
            <w:r w:rsidR="0F43D6F6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4</w:t>
            </w:r>
            <w:r w:rsidR="00D765E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/2</w:t>
            </w:r>
            <w:r w:rsidR="0F43D6F6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5</w:t>
            </w:r>
          </w:p>
        </w:tc>
      </w:tr>
      <w:tr w:rsidR="008347E0" w14:paraId="6933549D" w14:textId="77777777" w:rsidTr="21BC87D9">
        <w:tc>
          <w:tcPr>
            <w:tcW w:w="6704" w:type="dxa"/>
          </w:tcPr>
          <w:p w14:paraId="2666C20E" w14:textId="77777777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368" w:type="dxa"/>
          </w:tcPr>
          <w:p w14:paraId="5D174E1F" w14:textId="4BD78BFE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Numbers</w:t>
            </w:r>
          </w:p>
        </w:tc>
        <w:tc>
          <w:tcPr>
            <w:tcW w:w="944" w:type="dxa"/>
          </w:tcPr>
          <w:p w14:paraId="4F2F6B47" w14:textId="3CB09CD7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Rate</w:t>
            </w:r>
          </w:p>
        </w:tc>
      </w:tr>
      <w:tr w:rsidR="008347E0" w14:paraId="38BB5710" w14:textId="77777777" w:rsidTr="21BC87D9">
        <w:tc>
          <w:tcPr>
            <w:tcW w:w="6704" w:type="dxa"/>
          </w:tcPr>
          <w:p w14:paraId="4B36A45A" w14:textId="32F90E68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Permanent exclusions</w:t>
            </w:r>
          </w:p>
        </w:tc>
        <w:tc>
          <w:tcPr>
            <w:tcW w:w="1368" w:type="dxa"/>
          </w:tcPr>
          <w:p w14:paraId="0A4BE61E" w14:textId="77777777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44" w:type="dxa"/>
          </w:tcPr>
          <w:p w14:paraId="1CC7D176" w14:textId="77777777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8347E0" w14:paraId="0078D326" w14:textId="77777777" w:rsidTr="21BC87D9">
        <w:tc>
          <w:tcPr>
            <w:tcW w:w="6704" w:type="dxa"/>
          </w:tcPr>
          <w:p w14:paraId="16D6EA7B" w14:textId="7C5732EF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Fixed term exclusions</w:t>
            </w:r>
          </w:p>
        </w:tc>
        <w:tc>
          <w:tcPr>
            <w:tcW w:w="1368" w:type="dxa"/>
          </w:tcPr>
          <w:p w14:paraId="4DEE2788" w14:textId="77777777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44" w:type="dxa"/>
          </w:tcPr>
          <w:p w14:paraId="446F64BF" w14:textId="77777777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8347E0" w14:paraId="2630E0E6" w14:textId="77777777" w:rsidTr="21BC87D9">
        <w:tc>
          <w:tcPr>
            <w:tcW w:w="6704" w:type="dxa"/>
          </w:tcPr>
          <w:p w14:paraId="3750A24A" w14:textId="0FD291FB" w:rsidR="00D765EA" w:rsidRPr="00041827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Part-time timetables</w:t>
            </w:r>
          </w:p>
        </w:tc>
        <w:tc>
          <w:tcPr>
            <w:tcW w:w="1368" w:type="dxa"/>
          </w:tcPr>
          <w:p w14:paraId="2B6ECEFF" w14:textId="77777777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44" w:type="dxa"/>
          </w:tcPr>
          <w:p w14:paraId="5507C582" w14:textId="77777777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3A190D" w14:paraId="1E022941" w14:textId="77777777" w:rsidTr="21BC87D9">
        <w:tc>
          <w:tcPr>
            <w:tcW w:w="6704" w:type="dxa"/>
          </w:tcPr>
          <w:p w14:paraId="3953FE30" w14:textId="383DBCE5" w:rsidR="003A190D" w:rsidRPr="00041827" w:rsidRDefault="7AB078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Managed moves to other schools</w:t>
            </w:r>
          </w:p>
        </w:tc>
        <w:tc>
          <w:tcPr>
            <w:tcW w:w="1368" w:type="dxa"/>
          </w:tcPr>
          <w:p w14:paraId="664B41C4" w14:textId="77777777" w:rsidR="003A190D" w:rsidRDefault="003A190D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44" w:type="dxa"/>
          </w:tcPr>
          <w:p w14:paraId="7026DD3C" w14:textId="77777777" w:rsidR="003A190D" w:rsidRDefault="003A190D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8347E0" w14:paraId="14F5BDDB" w14:textId="77777777" w:rsidTr="21BC87D9">
        <w:tc>
          <w:tcPr>
            <w:tcW w:w="6704" w:type="dxa"/>
          </w:tcPr>
          <w:p w14:paraId="4E25DB8B" w14:textId="7EAE3CAA" w:rsidR="00D765EA" w:rsidRPr="00041827" w:rsidRDefault="500ECBFC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N</w:t>
            </w:r>
            <w:r w:rsidR="00F0791C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umber</w:t>
            </w: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of pupils moved to Elective Home Education</w:t>
            </w:r>
          </w:p>
        </w:tc>
        <w:tc>
          <w:tcPr>
            <w:tcW w:w="1368" w:type="dxa"/>
          </w:tcPr>
          <w:p w14:paraId="1D644282" w14:textId="77777777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44" w:type="dxa"/>
          </w:tcPr>
          <w:p w14:paraId="2A5834FE" w14:textId="77777777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D765EA" w14:paraId="152D1539" w14:textId="77777777" w:rsidTr="21BC87D9">
        <w:tc>
          <w:tcPr>
            <w:tcW w:w="9016" w:type="dxa"/>
            <w:gridSpan w:val="3"/>
          </w:tcPr>
          <w:p w14:paraId="1D469C52" w14:textId="317B1603" w:rsidR="00D765EA" w:rsidRPr="00CC2EA5" w:rsidRDefault="0C135D9C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E2. </w:t>
            </w:r>
            <w:r w:rsidR="00D765E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Provide </w:t>
            </w:r>
            <w:r w:rsidR="42C0D90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the</w:t>
            </w:r>
            <w:r w:rsidR="7AB07848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</w:t>
            </w:r>
            <w:r w:rsidR="00D765E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background and context to the data provided </w:t>
            </w:r>
            <w:commentRangeStart w:id="0"/>
            <w:commentRangeStart w:id="1"/>
            <w:r w:rsidR="00D765E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above</w:t>
            </w:r>
            <w:r w:rsidR="377706C8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:</w:t>
            </w:r>
            <w:commentRangeEnd w:id="0"/>
            <w:r w:rsidR="00D765EA">
              <w:rPr>
                <w:rStyle w:val="CommentReference"/>
              </w:rPr>
              <w:commentReference w:id="0"/>
            </w:r>
            <w:commentRangeEnd w:id="1"/>
            <w:r w:rsidR="00D765EA">
              <w:rPr>
                <w:rStyle w:val="CommentReference"/>
              </w:rPr>
              <w:commentReference w:id="1"/>
            </w:r>
          </w:p>
          <w:p w14:paraId="7141F25C" w14:textId="77777777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21BC87D9" w14:paraId="2ECE89F3" w14:textId="77777777" w:rsidTr="21BC87D9">
        <w:trPr>
          <w:trHeight w:val="300"/>
        </w:trPr>
        <w:tc>
          <w:tcPr>
            <w:tcW w:w="9016" w:type="dxa"/>
            <w:gridSpan w:val="3"/>
          </w:tcPr>
          <w:p w14:paraId="2AD9854F" w14:textId="1FC58197" w:rsidR="21BC87D9" w:rsidRDefault="21BC87D9" w:rsidP="21BC87D9">
            <w:pPr>
              <w:rPr>
                <w:rFonts w:ascii="Avenir Next LT Pro" w:eastAsia="Avenir Next LT Pro" w:hAnsi="Avenir Next LT Pro" w:cs="Avenir Next LT Pro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B9B6C5E" w14:textId="4FE33D56" w:rsidR="21BC87D9" w:rsidRDefault="21BC87D9" w:rsidP="21BC87D9">
            <w:pPr>
              <w:rPr>
                <w:rFonts w:ascii="Avenir Next LT Pro" w:eastAsia="Avenir Next LT Pro" w:hAnsi="Avenir Next LT Pro" w:cs="Avenir Next LT Pro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1863407" w14:textId="7ED49FC3" w:rsidR="21BC87D9" w:rsidRDefault="21BC87D9" w:rsidP="21BC87D9">
            <w:pPr>
              <w:rPr>
                <w:rFonts w:ascii="Avenir Next LT Pro" w:eastAsia="Avenir Next LT Pro" w:hAnsi="Avenir Next LT Pro" w:cs="Avenir Next LT Pro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513DB5F" w14:textId="659AE653" w:rsidR="21BC87D9" w:rsidRDefault="21BC87D9" w:rsidP="21BC87D9">
            <w:pPr>
              <w:rPr>
                <w:rFonts w:ascii="Avenir Next LT Pro" w:eastAsia="Avenir Next LT Pro" w:hAnsi="Avenir Next LT Pro" w:cs="Avenir Next LT Pro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3A8478C" w14:textId="64922ACE" w:rsidR="21BC87D9" w:rsidRDefault="21BC87D9" w:rsidP="21BC87D9">
            <w:pPr>
              <w:rPr>
                <w:rFonts w:ascii="Avenir Next LT Pro" w:eastAsia="Avenir Next LT Pro" w:hAnsi="Avenir Next LT Pro" w:cs="Avenir Next LT Pro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FD01F4C" w14:textId="15A79CDF" w:rsidR="21BC87D9" w:rsidRDefault="21BC87D9" w:rsidP="21BC87D9">
            <w:pPr>
              <w:rPr>
                <w:rFonts w:ascii="Avenir Next LT Pro" w:eastAsia="Avenir Next LT Pro" w:hAnsi="Avenir Next LT Pro" w:cs="Avenir Next LT Pro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4165344" w14:textId="5ACC5C81" w:rsidR="21BC87D9" w:rsidRDefault="21BC87D9" w:rsidP="21BC87D9">
            <w:pPr>
              <w:rPr>
                <w:rFonts w:ascii="Avenir Next LT Pro" w:eastAsia="Avenir Next LT Pro" w:hAnsi="Avenir Next LT Pro" w:cs="Avenir Next LT Pro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D080DBA" w14:textId="41DF9532" w:rsidR="21BC87D9" w:rsidRDefault="21BC87D9" w:rsidP="21BC87D9">
            <w:pPr>
              <w:rPr>
                <w:rFonts w:ascii="Avenir Next LT Pro" w:eastAsia="Avenir Next LT Pro" w:hAnsi="Avenir Next LT Pro" w:cs="Avenir Next LT Pro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D765EA" w14:paraId="7A310404" w14:textId="77777777" w:rsidTr="21BC87D9">
        <w:tc>
          <w:tcPr>
            <w:tcW w:w="9016" w:type="dxa"/>
            <w:gridSpan w:val="3"/>
          </w:tcPr>
          <w:p w14:paraId="45DB87E0" w14:textId="4734D219" w:rsidR="00D765EA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E</w:t>
            </w:r>
            <w:r w:rsidR="3600CD97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3</w:t>
            </w:r>
            <w:r w:rsidR="00D765E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. Provide examples of</w:t>
            </w:r>
            <w:r w:rsidR="01D9768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the school’s current </w:t>
            </w:r>
            <w:r w:rsidR="00D765E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Inclusion Practices</w:t>
            </w:r>
            <w:r w:rsidR="3393DCBE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:</w:t>
            </w:r>
          </w:p>
          <w:p w14:paraId="2BDA8BC6" w14:textId="7B570278" w:rsidR="00D765EA" w:rsidRDefault="005577D6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Include: evidence of implementation of strategies and their impact, inclusion quality marks, relational and restorative approaches</w:t>
            </w:r>
          </w:p>
        </w:tc>
      </w:tr>
      <w:tr w:rsidR="00D765EA" w14:paraId="2FAA09AD" w14:textId="77777777" w:rsidTr="21BC87D9">
        <w:tc>
          <w:tcPr>
            <w:tcW w:w="9016" w:type="dxa"/>
            <w:gridSpan w:val="3"/>
          </w:tcPr>
          <w:p w14:paraId="4C008ED4" w14:textId="77777777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6AEB36A3" w14:textId="77777777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1254B255" w14:textId="77777777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4611E629" w14:textId="033A368E" w:rsidR="21BC87D9" w:rsidRDefault="21BC87D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B643C8D" w14:textId="1EDE109F" w:rsidR="21BC87D9" w:rsidRDefault="21BC87D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A022962" w14:textId="58546011" w:rsidR="21BC87D9" w:rsidRDefault="21BC87D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7D9010BD" w14:textId="1ABADB38" w:rsidR="21BC87D9" w:rsidRDefault="21BC87D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44C0B344" w14:textId="7A25AC6C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D765EA" w14:paraId="78385583" w14:textId="77777777" w:rsidTr="21BC87D9">
        <w:tc>
          <w:tcPr>
            <w:tcW w:w="9016" w:type="dxa"/>
            <w:gridSpan w:val="3"/>
          </w:tcPr>
          <w:p w14:paraId="3C2BD287" w14:textId="73BC3CA1" w:rsidR="00D765EA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E</w:t>
            </w:r>
            <w:r w:rsidR="4A727EF4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4</w:t>
            </w: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. </w:t>
            </w:r>
            <w:r w:rsidR="59E38975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Provide information on</w:t>
            </w: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embed</w:t>
            </w:r>
            <w:r w:rsidR="59E38975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ding</w:t>
            </w: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relational and restorative practices </w:t>
            </w:r>
            <w:r w:rsidR="59E38975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across the school and how these practices would be embedded within the ERB</w:t>
            </w:r>
          </w:p>
        </w:tc>
      </w:tr>
      <w:tr w:rsidR="00D765EA" w14:paraId="63C055C4" w14:textId="77777777" w:rsidTr="21BC87D9">
        <w:tc>
          <w:tcPr>
            <w:tcW w:w="9016" w:type="dxa"/>
            <w:gridSpan w:val="3"/>
          </w:tcPr>
          <w:p w14:paraId="01555D0F" w14:textId="77777777" w:rsidR="00D765EA" w:rsidRDefault="00D765E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1CE3E875" w14:textId="77777777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11FB2274" w14:textId="60A96F33" w:rsidR="21BC87D9" w:rsidRDefault="21BC87D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4B151D13" w14:textId="77777777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69685CE3" w14:textId="49EE03D0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610F96" w14:paraId="28F28052" w14:textId="77777777" w:rsidTr="21BC87D9">
        <w:tc>
          <w:tcPr>
            <w:tcW w:w="9016" w:type="dxa"/>
            <w:gridSpan w:val="3"/>
          </w:tcPr>
          <w:p w14:paraId="3E143999" w14:textId="1C76D675" w:rsidR="00610F96" w:rsidRDefault="155D2D2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E</w:t>
            </w:r>
            <w:r w:rsidR="7ACB7A17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5</w:t>
            </w: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. How will children and young people attending the ERB be integrated within the mainstream school </w:t>
            </w:r>
          </w:p>
        </w:tc>
      </w:tr>
      <w:tr w:rsidR="00610F96" w14:paraId="5CA25454" w14:textId="77777777" w:rsidTr="21BC87D9">
        <w:tc>
          <w:tcPr>
            <w:tcW w:w="9016" w:type="dxa"/>
            <w:gridSpan w:val="3"/>
          </w:tcPr>
          <w:p w14:paraId="51D0E8B3" w14:textId="3483CC55" w:rsidR="00610F96" w:rsidRDefault="00610F96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94E25D3" w14:textId="6C197E82" w:rsidR="00610F96" w:rsidRDefault="00610F96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13FC5494" w14:textId="4100E2EC" w:rsidR="00610F96" w:rsidRDefault="00610F96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D329209" w14:textId="47C922C9" w:rsidR="00610F96" w:rsidRDefault="00610F96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79C8778B" w14:textId="68DD43E3" w:rsidR="00610F96" w:rsidRDefault="00610F96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11B5A9AF" w14:textId="623FCBA8" w:rsidR="00610F96" w:rsidRDefault="00610F96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58F57BFC" w14:textId="74F0C58F" w:rsidR="00610F96" w:rsidRDefault="00610F96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2F721F7A" w14:textId="77777777" w:rsidR="00D765EA" w:rsidRDefault="00D765EA" w:rsidP="21BC87D9">
      <w:pPr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</w:pPr>
    </w:p>
    <w:p w14:paraId="4029FDE4" w14:textId="3237D18F" w:rsidR="00FA1EAF" w:rsidRPr="001F0044" w:rsidRDefault="00164BB4" w:rsidP="21BC87D9">
      <w:pPr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</w:pPr>
      <w:r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  <w:t>F</w:t>
      </w:r>
      <w:r w:rsidR="00041827"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  <w:t xml:space="preserve">: </w:t>
      </w:r>
      <w:r w:rsidR="003B276C"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  <w:t xml:space="preserve">CHILDREN/YOUNG PERSONS </w:t>
      </w:r>
      <w:r w:rsidR="00390FF0"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  <w:t>AND</w:t>
      </w:r>
      <w:r w:rsidR="003B276C"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  <w:t xml:space="preserve"> PARENTS VOICE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BB4" w14:paraId="18218B86" w14:textId="77777777" w:rsidTr="21BC87D9">
        <w:tc>
          <w:tcPr>
            <w:tcW w:w="0" w:type="auto"/>
          </w:tcPr>
          <w:p w14:paraId="1F123254" w14:textId="1B323D14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F1. How will the </w:t>
            </w:r>
            <w:r w:rsidR="003B276C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ERB</w:t>
            </w: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</w:t>
            </w:r>
            <w:r w:rsidR="003B276C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ensure the child/youn</w:t>
            </w:r>
            <w:r w:rsidR="58377398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g </w:t>
            </w:r>
            <w:r w:rsidR="000316FD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person’s</w:t>
            </w:r>
            <w:r w:rsidR="58377398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voice informs delivery</w:t>
            </w:r>
            <w:r w:rsidR="001F0044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?</w:t>
            </w:r>
            <w:r w:rsidR="58377398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</w:t>
            </w:r>
            <w:r w:rsidR="003B276C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</w:t>
            </w: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</w:t>
            </w:r>
          </w:p>
        </w:tc>
      </w:tr>
      <w:tr w:rsidR="00D33C48" w14:paraId="6453C93C" w14:textId="77777777" w:rsidTr="21BC87D9">
        <w:tc>
          <w:tcPr>
            <w:tcW w:w="0" w:type="auto"/>
          </w:tcPr>
          <w:p w14:paraId="0D0EF541" w14:textId="77777777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270D0A37" w14:textId="77777777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674EF685" w14:textId="77777777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24517720" w14:textId="06E70246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164BB4" w14:paraId="3D9B06F9" w14:textId="77777777" w:rsidTr="21BC87D9">
        <w:tc>
          <w:tcPr>
            <w:tcW w:w="0" w:type="auto"/>
          </w:tcPr>
          <w:p w14:paraId="59F24056" w14:textId="6A03A104" w:rsidR="00164BB4" w:rsidRPr="008347E0" w:rsidRDefault="00164BB4" w:rsidP="21BC87D9">
            <w:pP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F2. </w:t>
            </w:r>
            <w:r w:rsidR="6E61AF36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How will the ERB </w:t>
            </w:r>
            <w:r w:rsidR="2FBEF701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involve</w:t>
            </w:r>
            <w:r w:rsidR="6E61AF36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the parents</w:t>
            </w:r>
            <w:r w:rsidR="2FBEF701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/</w:t>
            </w:r>
            <w:r w:rsidR="000316FD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carers?</w:t>
            </w:r>
          </w:p>
        </w:tc>
      </w:tr>
      <w:tr w:rsidR="00164BB4" w14:paraId="39575CEE" w14:textId="77777777" w:rsidTr="21BC87D9">
        <w:trPr>
          <w:trHeight w:val="832"/>
        </w:trPr>
        <w:tc>
          <w:tcPr>
            <w:tcW w:w="0" w:type="auto"/>
          </w:tcPr>
          <w:p w14:paraId="151CA66E" w14:textId="77777777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28BAFB28" w14:textId="77777777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1F450CE3" w14:textId="77777777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7F674F3A" w14:textId="33A6C0F4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A476C0" w14:paraId="4EB4D984" w14:textId="77777777" w:rsidTr="21BC87D9">
        <w:trPr>
          <w:trHeight w:val="449"/>
        </w:trPr>
        <w:tc>
          <w:tcPr>
            <w:tcW w:w="0" w:type="auto"/>
          </w:tcPr>
          <w:p w14:paraId="440353DB" w14:textId="31067D14" w:rsidR="00A476C0" w:rsidRDefault="555B911A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TRANSITION</w:t>
            </w:r>
          </w:p>
        </w:tc>
      </w:tr>
      <w:tr w:rsidR="00164BB4" w14:paraId="57C24C6B" w14:textId="77777777" w:rsidTr="21BC87D9">
        <w:tc>
          <w:tcPr>
            <w:tcW w:w="0" w:type="auto"/>
          </w:tcPr>
          <w:p w14:paraId="171347A6" w14:textId="1985D7A5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F3. How will </w:t>
            </w:r>
            <w:r w:rsidR="395069AE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children/young people and parents be involved in </w:t>
            </w: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transition </w:t>
            </w:r>
            <w:r w:rsidR="395069AE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into the </w:t>
            </w:r>
            <w:r w:rsidR="000316FD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ERB</w:t>
            </w:r>
            <w:r w:rsidR="4A40B0B7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and </w:t>
            </w:r>
            <w:r w:rsidR="3407CB50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the </w:t>
            </w:r>
            <w:r w:rsidR="4A40B0B7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induction processes</w:t>
            </w:r>
            <w:r w:rsidR="000316FD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?</w:t>
            </w:r>
          </w:p>
          <w:p w14:paraId="6794EFD9" w14:textId="520B2B11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164BB4" w14:paraId="4F7F33E3" w14:textId="77777777" w:rsidTr="21BC87D9">
        <w:trPr>
          <w:trHeight w:val="1397"/>
        </w:trPr>
        <w:tc>
          <w:tcPr>
            <w:tcW w:w="0" w:type="auto"/>
          </w:tcPr>
          <w:p w14:paraId="60F63782" w14:textId="77777777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4B9D6B1E" w14:textId="77777777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4E2ABD40" w14:textId="77777777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53FA96FC" w14:textId="2760E77D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164BB4" w14:paraId="51A766DA" w14:textId="77777777" w:rsidTr="21BC87D9">
        <w:tc>
          <w:tcPr>
            <w:tcW w:w="0" w:type="auto"/>
          </w:tcPr>
          <w:p w14:paraId="263170FF" w14:textId="4DA6CC7B" w:rsidR="00A476C0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F4. </w:t>
            </w:r>
            <w:r w:rsidR="555B911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How will children/young people and parents be involved in transition </w:t>
            </w:r>
            <w:r w:rsidR="5CBA8D81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from</w:t>
            </w:r>
            <w:r w:rsidR="555B911A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the </w:t>
            </w:r>
            <w:r w:rsidR="000316FD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ERB</w:t>
            </w:r>
            <w:r w:rsidR="7C2E1874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and </w:t>
            </w:r>
            <w:r w:rsidR="6CC321C0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the </w:t>
            </w:r>
            <w:r w:rsidR="7C2E1874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Exit processes</w:t>
            </w:r>
            <w:r w:rsidR="000316FD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?</w:t>
            </w:r>
          </w:p>
          <w:p w14:paraId="5DF66C58" w14:textId="51C8A92C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164BB4" w14:paraId="2AEE8A11" w14:textId="77777777" w:rsidTr="21BC87D9">
        <w:tc>
          <w:tcPr>
            <w:tcW w:w="0" w:type="auto"/>
          </w:tcPr>
          <w:p w14:paraId="328CB42A" w14:textId="77777777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49B1CAAA" w14:textId="77777777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7266DEDD" w14:textId="77777777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3D9F7F97" w14:textId="2001715E" w:rsidR="00D33C48" w:rsidRDefault="00D33C4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166EAF02" w14:textId="77777777" w:rsidR="00FA1EAF" w:rsidRDefault="00FA1EAF" w:rsidP="21BC87D9">
      <w:pPr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</w:pPr>
    </w:p>
    <w:p w14:paraId="5E0BF765" w14:textId="66382625" w:rsidR="00041827" w:rsidRDefault="00164BB4" w:rsidP="21BC87D9">
      <w:pPr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</w:pPr>
      <w:r w:rsidRPr="21BC87D9">
        <w:rPr>
          <w:rFonts w:ascii="Avenir Next LT Pro" w:eastAsia="Avenir Next LT Pro" w:hAnsi="Avenir Next LT Pro" w:cs="Avenir Next LT Pro"/>
          <w:color w:val="2F5496" w:themeColor="accent1" w:themeShade="BF"/>
          <w:sz w:val="24"/>
          <w:szCs w:val="24"/>
        </w:rPr>
        <w:t>G</w:t>
      </w:r>
      <w:r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  <w:sz w:val="24"/>
          <w:szCs w:val="24"/>
        </w:rPr>
        <w:t xml:space="preserve">. </w:t>
      </w:r>
      <w:r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</w:rPr>
        <w:t>F</w:t>
      </w:r>
      <w:r w:rsidR="00A701F6"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</w:rPr>
        <w:t xml:space="preserve">INANCIAL AND PHYSICAL </w:t>
      </w:r>
      <w:r w:rsidRPr="21BC87D9">
        <w:rPr>
          <w:rFonts w:ascii="Avenir Next LT Pro" w:eastAsia="Avenir Next LT Pro" w:hAnsi="Avenir Next LT Pro" w:cs="Avenir Next LT Pro"/>
          <w:b/>
          <w:bCs/>
          <w:color w:val="2F5496" w:themeColor="accent1" w:themeShade="BF"/>
        </w:rPr>
        <w:t xml:space="preserve">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6575C9" w14:paraId="5BC8B1CC" w14:textId="77777777" w:rsidTr="21BC87D9">
        <w:trPr>
          <w:trHeight w:val="525"/>
        </w:trPr>
        <w:tc>
          <w:tcPr>
            <w:tcW w:w="9016" w:type="dxa"/>
          </w:tcPr>
          <w:p w14:paraId="1D49E857" w14:textId="61F20DF5" w:rsidR="002E52D2" w:rsidRDefault="00164BB4" w:rsidP="21BC87D9">
            <w:pP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G</w:t>
            </w:r>
            <w:r w:rsidR="009674EF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1</w:t>
            </w: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. </w:t>
            </w:r>
            <w:r w:rsidR="06DFD3E8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How accessible is the school location </w:t>
            </w:r>
          </w:p>
          <w:p w14:paraId="566493BB" w14:textId="6E001A34" w:rsidR="00B66002" w:rsidRDefault="06DFD3E8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Include whether this is accessible by public transport</w:t>
            </w:r>
          </w:p>
          <w:p w14:paraId="579E4E07" w14:textId="6B8447AB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</w:t>
            </w:r>
          </w:p>
        </w:tc>
      </w:tr>
      <w:tr w:rsidR="21BC87D9" w14:paraId="28EFBF10" w14:textId="77777777" w:rsidTr="21BC87D9">
        <w:trPr>
          <w:trHeight w:val="525"/>
        </w:trPr>
        <w:tc>
          <w:tcPr>
            <w:tcW w:w="9016" w:type="dxa"/>
          </w:tcPr>
          <w:p w14:paraId="6BEA66E0" w14:textId="31BAF64C" w:rsidR="21BC87D9" w:rsidRDefault="21BC87D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8EBE135" w14:textId="21D364FC" w:rsidR="21BC87D9" w:rsidRDefault="21BC87D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517AE626" w14:textId="25C10EE2" w:rsidR="21BC87D9" w:rsidRDefault="21BC87D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75039AB2" w14:textId="044C9783" w:rsidR="21BC87D9" w:rsidRDefault="21BC87D9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5AE1E343" w14:textId="77777777" w:rsidR="002E52D2" w:rsidRDefault="002E52D2">
      <w:r>
        <w:br w:type="page"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164BB4" w14:paraId="682CFE35" w14:textId="77777777" w:rsidTr="21BC87D9">
        <w:trPr>
          <w:trHeight w:val="525"/>
        </w:trPr>
        <w:tc>
          <w:tcPr>
            <w:tcW w:w="9016" w:type="dxa"/>
          </w:tcPr>
          <w:p w14:paraId="5C886154" w14:textId="1C99AC6C" w:rsidR="007F2C19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lastRenderedPageBreak/>
              <w:t>G</w:t>
            </w:r>
            <w:r w:rsidR="009674EF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2</w:t>
            </w: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. Provide details of the </w:t>
            </w:r>
            <w:r w:rsidR="04826D48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proposed</w:t>
            </w:r>
            <w:r w:rsidR="66803AD1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space for the</w:t>
            </w:r>
            <w:r w:rsidR="04826D48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</w:t>
            </w:r>
            <w:r w:rsidR="011A8048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ERB</w:t>
            </w:r>
            <w:r w:rsidR="456170FD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(this must be surplus </w:t>
            </w:r>
            <w:r w:rsidR="004435D7" w:rsidRPr="009C3F67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i.e.</w:t>
            </w:r>
            <w:r w:rsidR="009C3F67" w:rsidRPr="009C3F67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</w:t>
            </w:r>
            <w:r w:rsidR="004435D7" w:rsidRPr="009C3F67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not required</w:t>
            </w:r>
            <w:r w:rsidR="009C3F67" w:rsidRPr="009C3F67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to meet the needs of the current and determined Published Admission Number (PAN).</w:t>
            </w:r>
            <w:r w:rsidR="456170FD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)</w:t>
            </w:r>
          </w:p>
          <w:p w14:paraId="24B76ACD" w14:textId="47910CA7" w:rsidR="00164BB4" w:rsidRDefault="00164BB4" w:rsidP="21BC87D9">
            <w:pP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Include: </w:t>
            </w:r>
            <w:r w:rsidR="71397B75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r</w:t>
            </w: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oom</w:t>
            </w:r>
            <w:r w:rsidR="2A04DF61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(</w:t>
            </w: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s</w:t>
            </w:r>
            <w:r w:rsidR="2A04DF61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)</w:t>
            </w: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 to be utilised</w:t>
            </w:r>
            <w:r w:rsidR="3A79A3F7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 and current use of the room</w:t>
            </w:r>
            <w:r w:rsidR="66B0D09B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(</w:t>
            </w:r>
            <w:r w:rsidR="3A79A3F7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s</w:t>
            </w:r>
            <w:r w:rsidR="66B0D09B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)</w:t>
            </w: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,</w:t>
            </w:r>
            <w:r w:rsidR="009C3F67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 room reference,</w:t>
            </w: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 location on the school site</w:t>
            </w:r>
            <w:r w:rsidR="009C3F67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 (accompanied by a plan showing the current and proposed accommodation)</w:t>
            </w:r>
            <w:r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, </w:t>
            </w:r>
            <w:r w:rsidR="78BFC926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accessibility and suitability of the environment for </w:t>
            </w:r>
            <w:r w:rsidR="034D2660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 xml:space="preserve">children and </w:t>
            </w:r>
            <w:r w:rsidR="78BFC926" w:rsidRPr="21BC87D9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young people with SEND</w:t>
            </w:r>
            <w:r w:rsidR="009C3F67"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.</w:t>
            </w:r>
          </w:p>
          <w:p w14:paraId="172E75C2" w14:textId="4E3EF8AD" w:rsidR="009C3F67" w:rsidRPr="008347E0" w:rsidRDefault="009C3F67" w:rsidP="21BC87D9">
            <w:pP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nir Next LT Pro" w:eastAsia="Avenir Next LT Pro" w:hAnsi="Avenir Next LT Pro" w:cs="Avenir Next LT Pro"/>
                <w:i/>
                <w:iCs/>
                <w:color w:val="2F5496" w:themeColor="accent1" w:themeShade="BF"/>
                <w:sz w:val="24"/>
                <w:szCs w:val="24"/>
              </w:rPr>
              <w:t>Please note that if this information is not supplied the expression of interest will not be considered until the information is provided.</w:t>
            </w:r>
          </w:p>
          <w:p w14:paraId="64BE00AE" w14:textId="77777777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164BB4" w14:paraId="3C2DC7C5" w14:textId="77777777" w:rsidTr="21BC87D9">
        <w:trPr>
          <w:trHeight w:val="525"/>
        </w:trPr>
        <w:tc>
          <w:tcPr>
            <w:tcW w:w="9016" w:type="dxa"/>
          </w:tcPr>
          <w:p w14:paraId="5BB2443C" w14:textId="2D1C2BAB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2FDFEE80" w14:textId="795A0B8C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7427B780" w14:textId="00ACA654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74BEFBED" w14:textId="0AD12F33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2E2CF48" w14:textId="54A2888B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001EB851" w14:textId="6D3C394D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27498DA7" w14:textId="6D80F3C6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  <w:p w14:paraId="4F5648A5" w14:textId="29D40A71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</w:p>
        </w:tc>
      </w:tr>
      <w:tr w:rsidR="00164BB4" w14:paraId="5A8DCAFE" w14:textId="77777777" w:rsidTr="21BC87D9">
        <w:trPr>
          <w:trHeight w:val="525"/>
        </w:trPr>
        <w:tc>
          <w:tcPr>
            <w:tcW w:w="9016" w:type="dxa"/>
          </w:tcPr>
          <w:p w14:paraId="2EC51A46" w14:textId="315378CE" w:rsidR="00164BB4" w:rsidRDefault="00164BB4" w:rsidP="21BC87D9">
            <w:pPr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</w:pP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G</w:t>
            </w:r>
            <w:r w:rsidR="009674EF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3</w:t>
            </w:r>
            <w:r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. </w:t>
            </w:r>
            <w:r w:rsidR="0C4FA9B2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Will the ERB be ready to use now and if not, what changes are required,</w:t>
            </w:r>
            <w:r w:rsidR="0C5A9BED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 timeframes for completion </w:t>
            </w:r>
            <w:r w:rsidR="15582C16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and how these </w:t>
            </w:r>
            <w:r w:rsidR="0C5A9BED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 xml:space="preserve">costs </w:t>
            </w:r>
            <w:r w:rsidR="15582C16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will be met</w:t>
            </w:r>
            <w:r w:rsidR="6DCD7FB3" w:rsidRPr="21BC87D9">
              <w:rPr>
                <w:rFonts w:ascii="Avenir Next LT Pro" w:eastAsia="Avenir Next LT Pro" w:hAnsi="Avenir Next LT Pro" w:cs="Avenir Next LT Pro"/>
                <w:color w:val="2F5496" w:themeColor="accent1" w:themeShade="BF"/>
                <w:sz w:val="24"/>
                <w:szCs w:val="24"/>
              </w:rPr>
              <w:t>.</w:t>
            </w:r>
          </w:p>
        </w:tc>
      </w:tr>
      <w:tr w:rsidR="00164BB4" w14:paraId="74C547A8" w14:textId="77777777" w:rsidTr="21BC87D9">
        <w:trPr>
          <w:trHeight w:val="525"/>
        </w:trPr>
        <w:tc>
          <w:tcPr>
            <w:tcW w:w="9016" w:type="dxa"/>
          </w:tcPr>
          <w:p w14:paraId="39A1FE2A" w14:textId="6A61BE04" w:rsidR="00164BB4" w:rsidRDefault="00164BB4" w:rsidP="21BC87D9">
            <w:pPr>
              <w:rPr>
                <w:rFonts w:ascii="Verdana" w:hAnsi="Verdana"/>
                <w:color w:val="2F5496" w:themeColor="accent1" w:themeShade="BF"/>
                <w:sz w:val="24"/>
                <w:szCs w:val="24"/>
              </w:rPr>
            </w:pPr>
          </w:p>
          <w:p w14:paraId="56B69422" w14:textId="01D9D4FD" w:rsidR="00164BB4" w:rsidRDefault="00164BB4" w:rsidP="21BC87D9">
            <w:pPr>
              <w:rPr>
                <w:rFonts w:ascii="Verdana" w:hAnsi="Verdana"/>
                <w:color w:val="2F5496" w:themeColor="accent1" w:themeShade="BF"/>
                <w:sz w:val="24"/>
                <w:szCs w:val="24"/>
              </w:rPr>
            </w:pPr>
          </w:p>
          <w:p w14:paraId="64972827" w14:textId="0B1BF408" w:rsidR="00164BB4" w:rsidRDefault="00164BB4" w:rsidP="21BC87D9">
            <w:pPr>
              <w:rPr>
                <w:rFonts w:ascii="Verdana" w:hAnsi="Verdana"/>
                <w:color w:val="2F5496" w:themeColor="accent1" w:themeShade="BF"/>
                <w:sz w:val="24"/>
                <w:szCs w:val="24"/>
              </w:rPr>
            </w:pPr>
          </w:p>
          <w:p w14:paraId="3BB72D13" w14:textId="500C3BD3" w:rsidR="00164BB4" w:rsidRDefault="00164BB4" w:rsidP="21BC87D9">
            <w:pPr>
              <w:rPr>
                <w:rFonts w:ascii="Verdana" w:hAnsi="Verdana"/>
                <w:color w:val="2F5496" w:themeColor="accent1" w:themeShade="BF"/>
                <w:sz w:val="24"/>
                <w:szCs w:val="24"/>
              </w:rPr>
            </w:pPr>
          </w:p>
          <w:p w14:paraId="7A5A0E2E" w14:textId="6C763777" w:rsidR="00164BB4" w:rsidRDefault="00164BB4" w:rsidP="21BC87D9">
            <w:pPr>
              <w:rPr>
                <w:rFonts w:ascii="Verdana" w:hAnsi="Verdana"/>
                <w:color w:val="2F5496" w:themeColor="accent1" w:themeShade="BF"/>
                <w:sz w:val="24"/>
                <w:szCs w:val="24"/>
              </w:rPr>
            </w:pPr>
          </w:p>
          <w:p w14:paraId="14F8BA85" w14:textId="0B597EA9" w:rsidR="00164BB4" w:rsidRDefault="00164BB4" w:rsidP="21BC87D9">
            <w:pPr>
              <w:rPr>
                <w:rFonts w:ascii="Verdana" w:hAnsi="Verdana"/>
                <w:color w:val="2F5496" w:themeColor="accent1" w:themeShade="BF"/>
                <w:sz w:val="24"/>
                <w:szCs w:val="24"/>
              </w:rPr>
            </w:pPr>
          </w:p>
          <w:p w14:paraId="1EC4C99D" w14:textId="347C7F85" w:rsidR="00164BB4" w:rsidRDefault="00164BB4" w:rsidP="21BC87D9">
            <w:pPr>
              <w:rPr>
                <w:rFonts w:ascii="Verdana" w:hAnsi="Verdana"/>
                <w:color w:val="2F5496" w:themeColor="accent1" w:themeShade="BF"/>
                <w:sz w:val="24"/>
                <w:szCs w:val="24"/>
              </w:rPr>
            </w:pPr>
          </w:p>
          <w:p w14:paraId="082B639F" w14:textId="63ED6B15" w:rsidR="00164BB4" w:rsidRDefault="00164BB4" w:rsidP="21BC87D9">
            <w:pPr>
              <w:rPr>
                <w:rFonts w:ascii="Verdana" w:hAnsi="Verdana"/>
                <w:color w:val="2F5496" w:themeColor="accent1" w:themeShade="BF"/>
                <w:sz w:val="24"/>
                <w:szCs w:val="24"/>
              </w:rPr>
            </w:pPr>
          </w:p>
          <w:p w14:paraId="0DFB179B" w14:textId="4A0F8921" w:rsidR="00164BB4" w:rsidRDefault="00164BB4" w:rsidP="21BC87D9">
            <w:pPr>
              <w:rPr>
                <w:rFonts w:ascii="Verdana" w:hAnsi="Verdana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73BFFA9B" w14:textId="77777777" w:rsidR="00A44812" w:rsidRDefault="00A44812">
      <w:pPr>
        <w:rPr>
          <w:rFonts w:ascii="Verdana" w:hAnsi="Verdana"/>
          <w:color w:val="2F5496" w:themeColor="accent1" w:themeShade="BF"/>
          <w:sz w:val="24"/>
          <w:szCs w:val="24"/>
        </w:rPr>
      </w:pPr>
    </w:p>
    <w:p w14:paraId="7C2CE428" w14:textId="77777777" w:rsidR="00A44812" w:rsidRDefault="00A44812">
      <w:pPr>
        <w:rPr>
          <w:rFonts w:ascii="Verdana" w:hAnsi="Verdana"/>
          <w:color w:val="2F5496" w:themeColor="accent1" w:themeShade="BF"/>
          <w:sz w:val="24"/>
          <w:szCs w:val="24"/>
        </w:rPr>
      </w:pPr>
    </w:p>
    <w:p w14:paraId="6139D2F5" w14:textId="4ADD2A97" w:rsidR="00A44812" w:rsidRPr="00A44812" w:rsidRDefault="00A44812" w:rsidP="00A44812">
      <w:pPr>
        <w:spacing w:after="0" w:line="240" w:lineRule="auto"/>
        <w:jc w:val="both"/>
        <w:rPr>
          <w:rFonts w:ascii="Avenir Next LT Pro Light" w:hAnsi="Avenir Next LT Pro Light"/>
          <w:b/>
          <w:bCs/>
          <w:i/>
          <w:iCs/>
          <w:color w:val="1F3864" w:themeColor="accent1" w:themeShade="80"/>
          <w:sz w:val="28"/>
          <w:szCs w:val="28"/>
        </w:rPr>
      </w:pPr>
      <w:r w:rsidRPr="00A44812">
        <w:rPr>
          <w:rFonts w:ascii="Avenir Next LT Pro Light" w:hAnsi="Avenir Next LT Pro Light"/>
          <w:b/>
          <w:bCs/>
          <w:color w:val="1F3864" w:themeColor="accent1" w:themeShade="80"/>
          <w:sz w:val="28"/>
          <w:szCs w:val="28"/>
        </w:rPr>
        <w:t xml:space="preserve">Applications must be submitted by 12 noon on 17 April 2026 to </w:t>
      </w:r>
      <w:hyperlink r:id="rId16" w:history="1">
        <w:r w:rsidR="006B4F73" w:rsidRPr="00B067EA">
          <w:rPr>
            <w:rStyle w:val="Hyperlink"/>
            <w:rFonts w:ascii="Avenir Next LT Pro Light" w:hAnsi="Avenir Next LT Pro Light"/>
            <w:b/>
            <w:bCs/>
            <w:sz w:val="28"/>
            <w:szCs w:val="28"/>
          </w:rPr>
          <w:t>Educationcommissioning@staffordshire.gov.uk</w:t>
        </w:r>
      </w:hyperlink>
      <w:r w:rsidRPr="00A44812">
        <w:rPr>
          <w:rFonts w:ascii="Avenir Next LT Pro Light" w:hAnsi="Avenir Next LT Pro Light"/>
          <w:b/>
          <w:bCs/>
          <w:color w:val="1F3864" w:themeColor="accent1" w:themeShade="80"/>
          <w:sz w:val="28"/>
          <w:szCs w:val="28"/>
        </w:rPr>
        <w:t xml:space="preserve"> with the title: </w:t>
      </w:r>
      <w:r w:rsidRPr="00A44812">
        <w:rPr>
          <w:rFonts w:ascii="Avenir Next LT Pro Light" w:hAnsi="Avenir Next LT Pro Light"/>
          <w:b/>
          <w:bCs/>
          <w:i/>
          <w:iCs/>
          <w:color w:val="1F3864" w:themeColor="accent1" w:themeShade="80"/>
          <w:sz w:val="28"/>
          <w:szCs w:val="28"/>
        </w:rPr>
        <w:t xml:space="preserve">Enhanced Resource Base Expression of Interest form </w:t>
      </w:r>
    </w:p>
    <w:p w14:paraId="3B4B375D" w14:textId="025EE7BC" w:rsidR="00041827" w:rsidRPr="00A44812" w:rsidRDefault="00041827">
      <w:pPr>
        <w:rPr>
          <w:rFonts w:ascii="Avenir Next LT Pro Light" w:hAnsi="Avenir Next LT Pro Light"/>
          <w:b/>
          <w:bCs/>
          <w:color w:val="1F3864" w:themeColor="accent1" w:themeShade="80"/>
          <w:sz w:val="36"/>
          <w:szCs w:val="36"/>
        </w:rPr>
      </w:pPr>
    </w:p>
    <w:p w14:paraId="6FE52CB6" w14:textId="77777777" w:rsidR="00041827" w:rsidRDefault="00041827">
      <w:pPr>
        <w:rPr>
          <w:rFonts w:ascii="Verdana" w:hAnsi="Verdana"/>
          <w:color w:val="2F5496" w:themeColor="accent1" w:themeShade="BF"/>
          <w:sz w:val="24"/>
          <w:szCs w:val="24"/>
        </w:rPr>
      </w:pPr>
    </w:p>
    <w:p w14:paraId="78217D52" w14:textId="77777777" w:rsidR="00A72AE0" w:rsidRDefault="00A72AE0">
      <w:pPr>
        <w:rPr>
          <w:rFonts w:ascii="Verdana" w:hAnsi="Verdana"/>
          <w:color w:val="2F5496" w:themeColor="accent1" w:themeShade="BF"/>
          <w:sz w:val="24"/>
          <w:szCs w:val="24"/>
        </w:rPr>
      </w:pPr>
    </w:p>
    <w:p w14:paraId="6ADF3EBD" w14:textId="77777777" w:rsidR="00B44CCE" w:rsidRDefault="00B44CCE">
      <w:pPr>
        <w:rPr>
          <w:rFonts w:ascii="Verdana" w:hAnsi="Verdana"/>
          <w:color w:val="2F5496" w:themeColor="accent1" w:themeShade="BF"/>
          <w:sz w:val="24"/>
          <w:szCs w:val="24"/>
        </w:rPr>
      </w:pPr>
    </w:p>
    <w:p w14:paraId="499797AF" w14:textId="77777777" w:rsidR="00B44CCE" w:rsidRDefault="00B44CCE">
      <w:pPr>
        <w:rPr>
          <w:rFonts w:ascii="Verdana" w:hAnsi="Verdana"/>
          <w:color w:val="2F5496" w:themeColor="accent1" w:themeShade="BF"/>
          <w:sz w:val="24"/>
          <w:szCs w:val="24"/>
        </w:rPr>
      </w:pPr>
    </w:p>
    <w:sectPr w:rsidR="00B44CCE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night, Carolyn (H&amp;C)" w:date="2023-06-03T16:42:00Z" w:initials="KC(">
    <w:p w14:paraId="15FD0F66" w14:textId="70DEB58B" w:rsidR="00D765EA" w:rsidRDefault="00D765EA" w:rsidP="00B56895">
      <w:pPr>
        <w:pStyle w:val="CommentText"/>
      </w:pPr>
      <w:r>
        <w:rPr>
          <w:rStyle w:val="CommentReference"/>
        </w:rPr>
        <w:annotationRef/>
      </w:r>
      <w:r>
        <w:t>WHAT ARE WE EXPECTING HERE?</w:t>
      </w:r>
    </w:p>
  </w:comment>
  <w:comment w:id="1" w:author="Matthews, Alison (E,I&amp;S)" w:date="2023-06-07T11:41:00Z" w:initials="MA(">
    <w:p w14:paraId="213B4F7B" w14:textId="77777777" w:rsidR="00D33C48" w:rsidRDefault="00D33C48" w:rsidP="00B56895">
      <w:pPr>
        <w:pStyle w:val="CommentText"/>
      </w:pPr>
      <w:r>
        <w:rPr>
          <w:rStyle w:val="CommentReference"/>
        </w:rPr>
        <w:annotationRef/>
      </w:r>
      <w:r>
        <w:t>Karl suggested allowing them to explain context re exclusions - he said that are circumstances where it is appropriate and therefore shouldn't penalise.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FD0F66" w15:done="1"/>
  <w15:commentEx w15:paraId="213B4F7B" w15:paraIdParent="15FD0F6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25EBFE" w16cex:dateUtc="2023-06-03T15:42:00Z"/>
  <w16cex:commentExtensible w16cex:durableId="282AEB5C" w16cex:dateUtc="2023-06-07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FD0F66" w16cid:durableId="2825EBFE"/>
  <w16cid:commentId w16cid:paraId="213B4F7B" w16cid:durableId="282AEB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B705" w14:textId="77777777" w:rsidR="00D96E68" w:rsidRDefault="00D96E68" w:rsidP="00D41CB9">
      <w:pPr>
        <w:spacing w:after="0" w:line="240" w:lineRule="auto"/>
      </w:pPr>
      <w:r>
        <w:separator/>
      </w:r>
    </w:p>
  </w:endnote>
  <w:endnote w:type="continuationSeparator" w:id="0">
    <w:p w14:paraId="60552496" w14:textId="77777777" w:rsidR="00D96E68" w:rsidRDefault="00D96E68" w:rsidP="00D4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2971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9AF93A" w14:textId="47310D1D" w:rsidR="00D41CB9" w:rsidRDefault="00D41CB9">
            <w:pPr>
              <w:pStyle w:val="Footer"/>
              <w:jc w:val="center"/>
            </w:pPr>
            <w:r w:rsidRPr="00D41CB9">
              <w:rPr>
                <w:rFonts w:ascii="Arial" w:hAnsi="Arial" w:cs="Arial"/>
              </w:rPr>
              <w:t xml:space="preserve">Page </w:t>
            </w:r>
            <w:r w:rsidRPr="00D41C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41CB9">
              <w:rPr>
                <w:rFonts w:ascii="Arial" w:hAnsi="Arial" w:cs="Arial"/>
                <w:b/>
                <w:bCs/>
              </w:rPr>
              <w:instrText>PAGE</w:instrText>
            </w:r>
            <w:r w:rsidRPr="00D41C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41CB9">
              <w:rPr>
                <w:rFonts w:ascii="Arial" w:hAnsi="Arial" w:cs="Arial"/>
                <w:b/>
                <w:bCs/>
              </w:rPr>
              <w:t>2</w:t>
            </w:r>
            <w:r w:rsidRPr="00D41C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41CB9">
              <w:rPr>
                <w:rFonts w:ascii="Arial" w:hAnsi="Arial" w:cs="Arial"/>
              </w:rPr>
              <w:t xml:space="preserve"> of </w:t>
            </w:r>
            <w:r w:rsidRPr="00D41C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41CB9">
              <w:rPr>
                <w:rFonts w:ascii="Arial" w:hAnsi="Arial" w:cs="Arial"/>
                <w:b/>
                <w:bCs/>
              </w:rPr>
              <w:instrText>NUMPAGES</w:instrText>
            </w:r>
            <w:r w:rsidRPr="00D41C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41CB9">
              <w:rPr>
                <w:rFonts w:ascii="Arial" w:hAnsi="Arial" w:cs="Arial"/>
                <w:b/>
                <w:bCs/>
              </w:rPr>
              <w:t>2</w:t>
            </w:r>
            <w:r w:rsidRPr="00D41CB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55684D" w14:textId="77777777" w:rsidR="00D41CB9" w:rsidRDefault="00D41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6B96" w14:textId="77777777" w:rsidR="00D96E68" w:rsidRDefault="00D96E68" w:rsidP="00D41CB9">
      <w:pPr>
        <w:spacing w:after="0" w:line="240" w:lineRule="auto"/>
      </w:pPr>
      <w:r>
        <w:separator/>
      </w:r>
    </w:p>
  </w:footnote>
  <w:footnote w:type="continuationSeparator" w:id="0">
    <w:p w14:paraId="237EE712" w14:textId="77777777" w:rsidR="00D96E68" w:rsidRDefault="00D96E68" w:rsidP="00D41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1FFE"/>
    <w:multiLevelType w:val="hybridMultilevel"/>
    <w:tmpl w:val="EDE0713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F26C87"/>
    <w:multiLevelType w:val="hybridMultilevel"/>
    <w:tmpl w:val="AF0607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C5C5F"/>
    <w:multiLevelType w:val="multilevel"/>
    <w:tmpl w:val="086C90E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B7260D"/>
    <w:multiLevelType w:val="hybridMultilevel"/>
    <w:tmpl w:val="7A684F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47698"/>
    <w:multiLevelType w:val="hybridMultilevel"/>
    <w:tmpl w:val="DC8A53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36439"/>
    <w:multiLevelType w:val="hybridMultilevel"/>
    <w:tmpl w:val="AA3E96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D0636"/>
    <w:multiLevelType w:val="hybridMultilevel"/>
    <w:tmpl w:val="E9922C2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2338991">
    <w:abstractNumId w:val="5"/>
  </w:num>
  <w:num w:numId="2" w16cid:durableId="1331830017">
    <w:abstractNumId w:val="1"/>
  </w:num>
  <w:num w:numId="3" w16cid:durableId="1488549761">
    <w:abstractNumId w:val="4"/>
  </w:num>
  <w:num w:numId="4" w16cid:durableId="404033068">
    <w:abstractNumId w:val="2"/>
  </w:num>
  <w:num w:numId="5" w16cid:durableId="564342559">
    <w:abstractNumId w:val="0"/>
  </w:num>
  <w:num w:numId="6" w16cid:durableId="914514376">
    <w:abstractNumId w:val="6"/>
  </w:num>
  <w:num w:numId="7" w16cid:durableId="97559948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night, Carolyn (H&amp;C)">
    <w15:presenceInfo w15:providerId="AD" w15:userId="S::carolyn.knight@staffordshire.gov.uk::dcdfad62-f1c3-4fdf-8527-bc60c51227ca"/>
  </w15:person>
  <w15:person w15:author="Matthews, Alison (E,I&amp;S)">
    <w15:presenceInfo w15:providerId="AD" w15:userId="S::alison.matthews@staffordshire.gov.uk::c5415b89-dd2e-4aa5-8d6c-d649540d11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C2"/>
    <w:rsid w:val="000316FD"/>
    <w:rsid w:val="00041827"/>
    <w:rsid w:val="00041FB6"/>
    <w:rsid w:val="00057426"/>
    <w:rsid w:val="00090657"/>
    <w:rsid w:val="00097E3A"/>
    <w:rsid w:val="000D38C1"/>
    <w:rsid w:val="000D5CCB"/>
    <w:rsid w:val="000D6E4C"/>
    <w:rsid w:val="001045D3"/>
    <w:rsid w:val="00114BF7"/>
    <w:rsid w:val="00126859"/>
    <w:rsid w:val="00134D68"/>
    <w:rsid w:val="001507FF"/>
    <w:rsid w:val="001528BC"/>
    <w:rsid w:val="00164BB4"/>
    <w:rsid w:val="001830A5"/>
    <w:rsid w:val="001C0220"/>
    <w:rsid w:val="001C3792"/>
    <w:rsid w:val="001D29C0"/>
    <w:rsid w:val="001D6107"/>
    <w:rsid w:val="001E270A"/>
    <w:rsid w:val="001F0044"/>
    <w:rsid w:val="001F1F82"/>
    <w:rsid w:val="002274A6"/>
    <w:rsid w:val="00241758"/>
    <w:rsid w:val="00247A5D"/>
    <w:rsid w:val="002D23F9"/>
    <w:rsid w:val="002E52D2"/>
    <w:rsid w:val="002F0A2E"/>
    <w:rsid w:val="00307406"/>
    <w:rsid w:val="00390FF0"/>
    <w:rsid w:val="003A190D"/>
    <w:rsid w:val="003B276C"/>
    <w:rsid w:val="003B63FD"/>
    <w:rsid w:val="003D50AD"/>
    <w:rsid w:val="0040223B"/>
    <w:rsid w:val="00414B32"/>
    <w:rsid w:val="00431BAC"/>
    <w:rsid w:val="00434234"/>
    <w:rsid w:val="00434ECC"/>
    <w:rsid w:val="004435D7"/>
    <w:rsid w:val="00491380"/>
    <w:rsid w:val="004C19CE"/>
    <w:rsid w:val="004D6CC6"/>
    <w:rsid w:val="0051255C"/>
    <w:rsid w:val="00526124"/>
    <w:rsid w:val="00542961"/>
    <w:rsid w:val="005577D6"/>
    <w:rsid w:val="0056704B"/>
    <w:rsid w:val="00575A8F"/>
    <w:rsid w:val="00581745"/>
    <w:rsid w:val="0059234A"/>
    <w:rsid w:val="00597FE3"/>
    <w:rsid w:val="005E5DE9"/>
    <w:rsid w:val="00610567"/>
    <w:rsid w:val="00610F96"/>
    <w:rsid w:val="00633E7B"/>
    <w:rsid w:val="006575C9"/>
    <w:rsid w:val="00686551"/>
    <w:rsid w:val="00691212"/>
    <w:rsid w:val="006B4F73"/>
    <w:rsid w:val="006F5DCF"/>
    <w:rsid w:val="007677CD"/>
    <w:rsid w:val="00781F99"/>
    <w:rsid w:val="007A1212"/>
    <w:rsid w:val="007E20C2"/>
    <w:rsid w:val="007F2C19"/>
    <w:rsid w:val="008054DE"/>
    <w:rsid w:val="008174BC"/>
    <w:rsid w:val="00823A0E"/>
    <w:rsid w:val="008347E0"/>
    <w:rsid w:val="00857294"/>
    <w:rsid w:val="00876081"/>
    <w:rsid w:val="008B5647"/>
    <w:rsid w:val="008D7B8C"/>
    <w:rsid w:val="008E3B9A"/>
    <w:rsid w:val="00926F84"/>
    <w:rsid w:val="009674EF"/>
    <w:rsid w:val="00993711"/>
    <w:rsid w:val="00994EB5"/>
    <w:rsid w:val="00995145"/>
    <w:rsid w:val="009B10BE"/>
    <w:rsid w:val="009C00B1"/>
    <w:rsid w:val="009C3F67"/>
    <w:rsid w:val="009E066B"/>
    <w:rsid w:val="009E06B3"/>
    <w:rsid w:val="009F3EBE"/>
    <w:rsid w:val="00A44812"/>
    <w:rsid w:val="00A476C0"/>
    <w:rsid w:val="00A63BE0"/>
    <w:rsid w:val="00A65289"/>
    <w:rsid w:val="00A701F6"/>
    <w:rsid w:val="00A72AE0"/>
    <w:rsid w:val="00A91344"/>
    <w:rsid w:val="00AA1AE7"/>
    <w:rsid w:val="00AC4374"/>
    <w:rsid w:val="00B34C05"/>
    <w:rsid w:val="00B42BB9"/>
    <w:rsid w:val="00B44CCE"/>
    <w:rsid w:val="00B47A80"/>
    <w:rsid w:val="00B56895"/>
    <w:rsid w:val="00B66002"/>
    <w:rsid w:val="00BA6C3D"/>
    <w:rsid w:val="00BD115C"/>
    <w:rsid w:val="00C41972"/>
    <w:rsid w:val="00C4567B"/>
    <w:rsid w:val="00CB656E"/>
    <w:rsid w:val="00CC2727"/>
    <w:rsid w:val="00CC2EA5"/>
    <w:rsid w:val="00CC6701"/>
    <w:rsid w:val="00D00DFC"/>
    <w:rsid w:val="00D25877"/>
    <w:rsid w:val="00D33C48"/>
    <w:rsid w:val="00D41CB9"/>
    <w:rsid w:val="00D57D9B"/>
    <w:rsid w:val="00D65B83"/>
    <w:rsid w:val="00D67A8A"/>
    <w:rsid w:val="00D765EA"/>
    <w:rsid w:val="00D96E68"/>
    <w:rsid w:val="00DC25C5"/>
    <w:rsid w:val="00DD6966"/>
    <w:rsid w:val="00DE2415"/>
    <w:rsid w:val="00E04BD3"/>
    <w:rsid w:val="00E20B52"/>
    <w:rsid w:val="00E26D92"/>
    <w:rsid w:val="00E46673"/>
    <w:rsid w:val="00E57421"/>
    <w:rsid w:val="00E60D69"/>
    <w:rsid w:val="00F03073"/>
    <w:rsid w:val="00F0791C"/>
    <w:rsid w:val="00F223EC"/>
    <w:rsid w:val="00F45254"/>
    <w:rsid w:val="00F604B3"/>
    <w:rsid w:val="00F91163"/>
    <w:rsid w:val="00F97086"/>
    <w:rsid w:val="00FA1EAF"/>
    <w:rsid w:val="00FF4DB4"/>
    <w:rsid w:val="011A8048"/>
    <w:rsid w:val="015DED52"/>
    <w:rsid w:val="01D9768A"/>
    <w:rsid w:val="034D2660"/>
    <w:rsid w:val="04826D48"/>
    <w:rsid w:val="04AA4E4B"/>
    <w:rsid w:val="04AC43A2"/>
    <w:rsid w:val="051E9915"/>
    <w:rsid w:val="053303B7"/>
    <w:rsid w:val="063FF58F"/>
    <w:rsid w:val="06DFD3E8"/>
    <w:rsid w:val="087A8E90"/>
    <w:rsid w:val="08F97BC8"/>
    <w:rsid w:val="091932AE"/>
    <w:rsid w:val="09935057"/>
    <w:rsid w:val="09CF8ED6"/>
    <w:rsid w:val="0A1E2AC5"/>
    <w:rsid w:val="0A270696"/>
    <w:rsid w:val="0A3E51C1"/>
    <w:rsid w:val="0B4CA522"/>
    <w:rsid w:val="0B84F23D"/>
    <w:rsid w:val="0BC78B45"/>
    <w:rsid w:val="0C135D9C"/>
    <w:rsid w:val="0C4FA9B2"/>
    <w:rsid w:val="0C5A9BED"/>
    <w:rsid w:val="0D2EEFCD"/>
    <w:rsid w:val="0DB4ABB1"/>
    <w:rsid w:val="0E6181D2"/>
    <w:rsid w:val="0E94E333"/>
    <w:rsid w:val="0F43D6F6"/>
    <w:rsid w:val="0FA83C5F"/>
    <w:rsid w:val="1030F6AF"/>
    <w:rsid w:val="10AF6F3F"/>
    <w:rsid w:val="12B149B1"/>
    <w:rsid w:val="14B9BCAC"/>
    <w:rsid w:val="15582C16"/>
    <w:rsid w:val="155D2D24"/>
    <w:rsid w:val="167DA956"/>
    <w:rsid w:val="191129FD"/>
    <w:rsid w:val="1B73124D"/>
    <w:rsid w:val="1D4CA504"/>
    <w:rsid w:val="1DBFC7F5"/>
    <w:rsid w:val="1DF9D78F"/>
    <w:rsid w:val="1E00BAFA"/>
    <w:rsid w:val="1E1F3DCB"/>
    <w:rsid w:val="1F634686"/>
    <w:rsid w:val="21BC87D9"/>
    <w:rsid w:val="22166DB6"/>
    <w:rsid w:val="222DDF85"/>
    <w:rsid w:val="241ADD9D"/>
    <w:rsid w:val="242B0B59"/>
    <w:rsid w:val="24819682"/>
    <w:rsid w:val="256B5F4D"/>
    <w:rsid w:val="256BB770"/>
    <w:rsid w:val="263F090D"/>
    <w:rsid w:val="275F8CA4"/>
    <w:rsid w:val="278A748A"/>
    <w:rsid w:val="27AB57C6"/>
    <w:rsid w:val="27E7A0A8"/>
    <w:rsid w:val="2817C859"/>
    <w:rsid w:val="2A04DF61"/>
    <w:rsid w:val="2DC853FE"/>
    <w:rsid w:val="2DE2B5A4"/>
    <w:rsid w:val="2E152AFB"/>
    <w:rsid w:val="2FBEF701"/>
    <w:rsid w:val="304A8CC2"/>
    <w:rsid w:val="30B2459D"/>
    <w:rsid w:val="3147C0EF"/>
    <w:rsid w:val="3159CBD0"/>
    <w:rsid w:val="316C05CD"/>
    <w:rsid w:val="324D5CBE"/>
    <w:rsid w:val="32DCF123"/>
    <w:rsid w:val="33433EE3"/>
    <w:rsid w:val="3393DCBE"/>
    <w:rsid w:val="33D57FAC"/>
    <w:rsid w:val="3407CB50"/>
    <w:rsid w:val="3600CD97"/>
    <w:rsid w:val="3601AECC"/>
    <w:rsid w:val="36576BE7"/>
    <w:rsid w:val="377706C8"/>
    <w:rsid w:val="37E42104"/>
    <w:rsid w:val="395069AE"/>
    <w:rsid w:val="39745193"/>
    <w:rsid w:val="3A79A3F7"/>
    <w:rsid w:val="3C332FEC"/>
    <w:rsid w:val="3EAF4941"/>
    <w:rsid w:val="40213E98"/>
    <w:rsid w:val="40B14588"/>
    <w:rsid w:val="40C18CBD"/>
    <w:rsid w:val="410B9230"/>
    <w:rsid w:val="42C0D90A"/>
    <w:rsid w:val="42FE236E"/>
    <w:rsid w:val="437DEA01"/>
    <w:rsid w:val="43B6570C"/>
    <w:rsid w:val="456170FD"/>
    <w:rsid w:val="45E2471D"/>
    <w:rsid w:val="46C967DA"/>
    <w:rsid w:val="474B7271"/>
    <w:rsid w:val="48465D3A"/>
    <w:rsid w:val="4A40B0B7"/>
    <w:rsid w:val="4A727EF4"/>
    <w:rsid w:val="4AA47F74"/>
    <w:rsid w:val="4B0E21E2"/>
    <w:rsid w:val="4BB6BFC5"/>
    <w:rsid w:val="4C7E6AEC"/>
    <w:rsid w:val="4CBE73F6"/>
    <w:rsid w:val="4D2E754B"/>
    <w:rsid w:val="4ED072DB"/>
    <w:rsid w:val="4EF643F0"/>
    <w:rsid w:val="4F3743AD"/>
    <w:rsid w:val="4F6AFCE7"/>
    <w:rsid w:val="4FCB5DA1"/>
    <w:rsid w:val="500ECBFC"/>
    <w:rsid w:val="51E19F2F"/>
    <w:rsid w:val="521E98DA"/>
    <w:rsid w:val="536477E1"/>
    <w:rsid w:val="54239809"/>
    <w:rsid w:val="544B8467"/>
    <w:rsid w:val="54C7B57F"/>
    <w:rsid w:val="5525BE21"/>
    <w:rsid w:val="5542B727"/>
    <w:rsid w:val="555B911A"/>
    <w:rsid w:val="56EDFAF4"/>
    <w:rsid w:val="56FFC809"/>
    <w:rsid w:val="5814CB50"/>
    <w:rsid w:val="58377398"/>
    <w:rsid w:val="590428A6"/>
    <w:rsid w:val="5968ADA8"/>
    <w:rsid w:val="59E38975"/>
    <w:rsid w:val="5C45E2F9"/>
    <w:rsid w:val="5CBA8D81"/>
    <w:rsid w:val="5DCA59F6"/>
    <w:rsid w:val="5DDC116E"/>
    <w:rsid w:val="5E23C5B4"/>
    <w:rsid w:val="5EE05957"/>
    <w:rsid w:val="5F059659"/>
    <w:rsid w:val="60FDAF3B"/>
    <w:rsid w:val="6228E021"/>
    <w:rsid w:val="62672833"/>
    <w:rsid w:val="62A26794"/>
    <w:rsid w:val="63F6EFA4"/>
    <w:rsid w:val="65C407A6"/>
    <w:rsid w:val="65D3488D"/>
    <w:rsid w:val="66803AD1"/>
    <w:rsid w:val="66853E5A"/>
    <w:rsid w:val="66B0D09B"/>
    <w:rsid w:val="6717FC9B"/>
    <w:rsid w:val="67199831"/>
    <w:rsid w:val="682FF806"/>
    <w:rsid w:val="6A754C35"/>
    <w:rsid w:val="6B6CE73C"/>
    <w:rsid w:val="6CC321C0"/>
    <w:rsid w:val="6CD0D813"/>
    <w:rsid w:val="6D588183"/>
    <w:rsid w:val="6DCD7FB3"/>
    <w:rsid w:val="6E02C56C"/>
    <w:rsid w:val="6E61AF36"/>
    <w:rsid w:val="6F15F34A"/>
    <w:rsid w:val="71397B75"/>
    <w:rsid w:val="71FD46BE"/>
    <w:rsid w:val="728868E9"/>
    <w:rsid w:val="7327FC4C"/>
    <w:rsid w:val="73687510"/>
    <w:rsid w:val="748102BD"/>
    <w:rsid w:val="74E3CDE0"/>
    <w:rsid w:val="750D2A2E"/>
    <w:rsid w:val="7547CD94"/>
    <w:rsid w:val="7826EBCC"/>
    <w:rsid w:val="78BFC926"/>
    <w:rsid w:val="7AB07848"/>
    <w:rsid w:val="7ACB7A17"/>
    <w:rsid w:val="7C2A11B6"/>
    <w:rsid w:val="7C2E1874"/>
    <w:rsid w:val="7DD5CEE8"/>
    <w:rsid w:val="7DF54B53"/>
    <w:rsid w:val="7DFD26B7"/>
    <w:rsid w:val="7E22DB69"/>
    <w:rsid w:val="7E36F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EBFC"/>
  <w15:chartTrackingRefBased/>
  <w15:docId w15:val="{E3A46522-D2F7-4018-854D-AC3E970A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12,MAIN CONTENT,Párrafo de lista,Recommendation,List Paragraph1,Colorful List - Accent 11,No Spacing1,List Paragraph Char Char Char,Indicator Text,Numbered Para 1,Bullet 1,Bullet Points,List Paragrap"/>
    <w:basedOn w:val="Normal"/>
    <w:link w:val="ListParagraphChar"/>
    <w:uiPriority w:val="34"/>
    <w:qFormat/>
    <w:rsid w:val="005E5D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D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5DE9"/>
    <w:pPr>
      <w:spacing w:after="0" w:line="240" w:lineRule="auto"/>
    </w:pPr>
  </w:style>
  <w:style w:type="character" w:customStyle="1" w:styleId="ListParagraphChar">
    <w:name w:val="List Paragraph Char"/>
    <w:aliases w:val="Dot pt Char,F5 List Paragraph Char,List Paragraph12 Char,MAIN CONTENT Char,Párrafo de lista Char,Recommendation Char,List Paragraph1 Char,Colorful List - Accent 11 Char,No Spacing1 Char,List Paragraph Char Char Char Char"/>
    <w:link w:val="ListParagraph"/>
    <w:uiPriority w:val="34"/>
    <w:qFormat/>
    <w:locked/>
    <w:rsid w:val="001D6107"/>
  </w:style>
  <w:style w:type="paragraph" w:styleId="Header">
    <w:name w:val="header"/>
    <w:basedOn w:val="Normal"/>
    <w:link w:val="HeaderChar"/>
    <w:uiPriority w:val="99"/>
    <w:unhideWhenUsed/>
    <w:rsid w:val="00D41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CB9"/>
  </w:style>
  <w:style w:type="paragraph" w:styleId="Footer">
    <w:name w:val="footer"/>
    <w:basedOn w:val="Normal"/>
    <w:link w:val="FooterChar"/>
    <w:uiPriority w:val="99"/>
    <w:unhideWhenUsed/>
    <w:rsid w:val="00D41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CB9"/>
  </w:style>
  <w:style w:type="character" w:styleId="Hyperlink">
    <w:name w:val="Hyperlink"/>
    <w:basedOn w:val="DefaultParagraphFont"/>
    <w:uiPriority w:val="99"/>
    <w:unhideWhenUsed/>
    <w:rsid w:val="00A44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Educationcommissioning@staffordshire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ucationcommissioning@staffordshire.gov.uk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DA270909AD244AA544089F44977A4" ma:contentTypeVersion="17" ma:contentTypeDescription="Create a new document." ma:contentTypeScope="" ma:versionID="a0082539a34046d1b12fd27c280cee04">
  <xsd:schema xmlns:xsd="http://www.w3.org/2001/XMLSchema" xmlns:xs="http://www.w3.org/2001/XMLSchema" xmlns:p="http://schemas.microsoft.com/office/2006/metadata/properties" xmlns:ns2="fa64c94f-2be8-412d-9006-e9ee18308d04" xmlns:ns3="0a5bec8a-2e3b-4d02-bf3a-3235749cdcbd" targetNamespace="http://schemas.microsoft.com/office/2006/metadata/properties" ma:root="true" ma:fieldsID="a36ad280c6f36c650fe3743cd747592f" ns2:_="" ns3:_="">
    <xsd:import namespace="fa64c94f-2be8-412d-9006-e9ee18308d04"/>
    <xsd:import namespace="0a5bec8a-2e3b-4d02-bf3a-3235749cd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4c94f-2be8-412d-9006-e9ee18308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ec8a-2e3b-4d02-bf3a-3235749cdc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eb8db4-390e-49ba-8342-ec6aa6d8a346}" ma:internalName="TaxCatchAll" ma:showField="CatchAllData" ma:web="0a5bec8a-2e3b-4d02-bf3a-3235749cd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64c94f-2be8-412d-9006-e9ee18308d04">
      <Terms xmlns="http://schemas.microsoft.com/office/infopath/2007/PartnerControls"/>
    </lcf76f155ced4ddcb4097134ff3c332f>
    <TaxCatchAll xmlns="0a5bec8a-2e3b-4d02-bf3a-3235749cdc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DCB49-3101-47EE-AA5D-BCCF313019DF}"/>
</file>

<file path=customXml/itemProps2.xml><?xml version="1.0" encoding="utf-8"?>
<ds:datastoreItem xmlns:ds="http://schemas.openxmlformats.org/officeDocument/2006/customXml" ds:itemID="{2D9EF04D-8382-4BF1-90C6-DEE5699392F0}">
  <ds:schemaRefs>
    <ds:schemaRef ds:uri="http://schemas.microsoft.com/office/2006/metadata/properties"/>
    <ds:schemaRef ds:uri="http://schemas.microsoft.com/office/infopath/2007/PartnerControls"/>
    <ds:schemaRef ds:uri="c4927611-13cd-49a0-be03-110355c65ea5"/>
    <ds:schemaRef ds:uri="24d2abf2-e5f1-48a6-8dfa-ae5ceaf3aca8"/>
  </ds:schemaRefs>
</ds:datastoreItem>
</file>

<file path=customXml/itemProps3.xml><?xml version="1.0" encoding="utf-8"?>
<ds:datastoreItem xmlns:ds="http://schemas.openxmlformats.org/officeDocument/2006/customXml" ds:itemID="{FCE22695-EBFC-4BC1-8B9D-20BA0F5DD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820</Words>
  <Characters>4528</Characters>
  <Application>Microsoft Office Word</Application>
  <DocSecurity>0</DocSecurity>
  <Lines>323</Lines>
  <Paragraphs>95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Alison (E,I&amp;S)</dc:creator>
  <cp:keywords/>
  <dc:description/>
  <cp:lastModifiedBy>Tomson, Sam (C&amp;F)</cp:lastModifiedBy>
  <cp:revision>3</cp:revision>
  <cp:lastPrinted>2026-02-13T07:26:00Z</cp:lastPrinted>
  <dcterms:created xsi:type="dcterms:W3CDTF">2026-02-13T15:01:00Z</dcterms:created>
  <dcterms:modified xsi:type="dcterms:W3CDTF">2026-02-13T15:01:00Z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0x0101003E4DA270909AD244AA544089F44977A4</vt:lpwstr>
  </property>
  <property fmtid="{D5CDD505-2E9C-101B-9397-08002B2CF9AE}" pid="3" name="MediaServiceImageTags">
    <vt:lpwstr/>
  </property>
  <property fmtid="{D5CDD505-2E9C-101B-9397-08002B2CF9AE}" pid="4" name="Order">
    <vt:r8>17922800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